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361"/>
        <w:tblW w:w="11432" w:type="dxa"/>
        <w:tblLayout w:type="fixed"/>
        <w:tblLook w:val="01E0"/>
      </w:tblPr>
      <w:tblGrid>
        <w:gridCol w:w="4300"/>
        <w:gridCol w:w="2693"/>
        <w:gridCol w:w="4439"/>
      </w:tblGrid>
      <w:tr w:rsidR="004B3B94" w:rsidRPr="009816EB" w:rsidTr="00065BA9">
        <w:trPr>
          <w:trHeight w:val="1833"/>
        </w:trPr>
        <w:tc>
          <w:tcPr>
            <w:tcW w:w="4300" w:type="dxa"/>
          </w:tcPr>
          <w:p w:rsidR="004B3B94" w:rsidRPr="009816EB" w:rsidRDefault="004B3B94" w:rsidP="004A0F2B">
            <w:pPr>
              <w:keepNext/>
              <w:spacing w:after="0"/>
              <w:jc w:val="center"/>
              <w:outlineLvl w:val="0"/>
              <w:rPr>
                <w:rFonts w:ascii="Arial Narrow" w:eastAsia="Batang" w:hAnsi="Arial Narrow"/>
                <w:b/>
                <w:bCs/>
                <w:spacing w:val="-4"/>
                <w:sz w:val="26"/>
                <w:szCs w:val="26"/>
              </w:rPr>
            </w:pPr>
            <w:bookmarkStart w:id="0" w:name="_Toc161649146"/>
            <w:bookmarkStart w:id="1" w:name="_Toc327867920"/>
            <w:bookmarkStart w:id="2" w:name="_Toc153853279"/>
            <w:r w:rsidRPr="009816EB">
              <w:rPr>
                <w:rFonts w:ascii="Arial Narrow" w:eastAsia="Batang" w:hAnsi="Arial Narrow"/>
                <w:b/>
                <w:bCs/>
                <w:spacing w:val="-4"/>
                <w:sz w:val="26"/>
                <w:szCs w:val="26"/>
              </w:rPr>
              <w:t xml:space="preserve">RÉPUBLIQUE </w:t>
            </w:r>
            <w:r w:rsidRPr="009816EB">
              <w:rPr>
                <w:rFonts w:ascii="Arial Narrow" w:eastAsia="Batang" w:hAnsi="Arial Narrow"/>
                <w:b/>
                <w:bCs/>
                <w:spacing w:val="-4"/>
                <w:sz w:val="26"/>
                <w:szCs w:val="26"/>
                <w:lang w:bidi="ar-TN"/>
              </w:rPr>
              <w:t>D</w:t>
            </w:r>
            <w:r w:rsidRPr="009816EB">
              <w:rPr>
                <w:rFonts w:ascii="Arial Narrow" w:eastAsia="Batang" w:hAnsi="Arial Narrow"/>
                <w:b/>
                <w:bCs/>
                <w:spacing w:val="-4"/>
                <w:sz w:val="26"/>
                <w:szCs w:val="26"/>
              </w:rPr>
              <w:t>E DJIBOUTI</w:t>
            </w:r>
          </w:p>
          <w:p w:rsidR="004B3B94" w:rsidRPr="009816EB" w:rsidRDefault="004B3B94" w:rsidP="004A0F2B">
            <w:pPr>
              <w:spacing w:after="0"/>
              <w:jc w:val="center"/>
              <w:rPr>
                <w:rFonts w:ascii="Arial Narrow" w:hAnsi="Arial Narrow"/>
                <w:sz w:val="20"/>
              </w:rPr>
            </w:pPr>
            <w:r w:rsidRPr="009816EB">
              <w:rPr>
                <w:rFonts w:ascii="Arial Narrow" w:hAnsi="Arial Narrow"/>
                <w:sz w:val="20"/>
              </w:rPr>
              <w:t>Unité – Égalité –Paix</w:t>
            </w:r>
          </w:p>
          <w:p w:rsidR="004B3B94" w:rsidRPr="009816EB" w:rsidRDefault="004B3B94" w:rsidP="004A0F2B">
            <w:pPr>
              <w:spacing w:before="120" w:after="0"/>
              <w:jc w:val="center"/>
              <w:rPr>
                <w:rFonts w:ascii="Arial Narrow" w:hAnsi="Arial Narrow"/>
                <w:b/>
                <w:bCs/>
                <w:position w:val="10"/>
                <w:sz w:val="14"/>
                <w:szCs w:val="14"/>
              </w:rPr>
            </w:pPr>
            <w:r>
              <w:rPr>
                <w:rFonts w:ascii="(Utiliser une police de caractè" w:hAnsi="(Utiliser une police de caractè"/>
                <w:b/>
                <w:noProof/>
                <w:position w:val="10"/>
                <w:sz w:val="12"/>
                <w:szCs w:val="12"/>
              </w:rPr>
              <w:drawing>
                <wp:inline distT="0" distB="0" distL="0" distR="0">
                  <wp:extent cx="704850" cy="47625"/>
                  <wp:effectExtent l="19050" t="0" r="0" b="0"/>
                  <wp:docPr id="1" name="Image 106"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6" descr="aaaa"/>
                          <pic:cNvPicPr>
                            <a:picLocks noChangeAspect="1" noChangeArrowheads="1"/>
                          </pic:cNvPicPr>
                        </pic:nvPicPr>
                        <pic:blipFill>
                          <a:blip r:embed="rId5" cstate="print"/>
                          <a:srcRect/>
                          <a:stretch>
                            <a:fillRect/>
                          </a:stretch>
                        </pic:blipFill>
                        <pic:spPr bwMode="auto">
                          <a:xfrm>
                            <a:off x="0" y="0"/>
                            <a:ext cx="704850" cy="47625"/>
                          </a:xfrm>
                          <a:prstGeom prst="rect">
                            <a:avLst/>
                          </a:prstGeom>
                          <a:noFill/>
                          <a:ln w="9525">
                            <a:noFill/>
                            <a:miter lim="800000"/>
                            <a:headEnd/>
                            <a:tailEnd/>
                          </a:ln>
                        </pic:spPr>
                      </pic:pic>
                    </a:graphicData>
                  </a:graphic>
                </wp:inline>
              </w:drawing>
            </w:r>
          </w:p>
          <w:p w:rsidR="004B3B94" w:rsidRPr="009816EB" w:rsidRDefault="004B3B94" w:rsidP="004A0F2B">
            <w:pPr>
              <w:spacing w:after="0"/>
              <w:jc w:val="center"/>
              <w:rPr>
                <w:rFonts w:ascii="Arial Narrow" w:eastAsia="Batang" w:hAnsi="Arial Narrow"/>
                <w:b/>
                <w:bCs/>
                <w:spacing w:val="-4"/>
              </w:rPr>
            </w:pPr>
            <w:r w:rsidRPr="009816EB">
              <w:rPr>
                <w:rFonts w:ascii="Arial Narrow" w:eastAsia="Batang" w:hAnsi="Arial Narrow"/>
                <w:b/>
                <w:bCs/>
                <w:spacing w:val="-4"/>
              </w:rPr>
              <w:t>MINISTÈRE DE L’ÉDUCATION NATIONALE</w:t>
            </w:r>
          </w:p>
          <w:p w:rsidR="004B3B94" w:rsidRPr="009816EB" w:rsidRDefault="004B3B94" w:rsidP="004A0F2B">
            <w:pPr>
              <w:spacing w:after="0"/>
              <w:jc w:val="center"/>
              <w:rPr>
                <w:rFonts w:ascii="Arial Narrow" w:hAnsi="Arial Narrow"/>
                <w:b/>
                <w:bCs/>
              </w:rPr>
            </w:pPr>
            <w:r w:rsidRPr="009816EB">
              <w:rPr>
                <w:rFonts w:ascii="Arial Narrow" w:eastAsia="Batang" w:hAnsi="Arial Narrow"/>
                <w:b/>
                <w:bCs/>
                <w:spacing w:val="-4"/>
              </w:rPr>
              <w:t>ET DE LA FORMATION PROFESSIONNELLE</w:t>
            </w:r>
          </w:p>
          <w:p w:rsidR="004B3B94" w:rsidRPr="009816EB" w:rsidRDefault="004B3B94" w:rsidP="004A0F2B">
            <w:pPr>
              <w:spacing w:before="120" w:after="0"/>
              <w:jc w:val="center"/>
              <w:rPr>
                <w:rFonts w:ascii="Arial Narrow" w:hAnsi="Arial Narrow"/>
                <w:b/>
                <w:bCs/>
                <w:position w:val="10"/>
                <w:sz w:val="14"/>
                <w:szCs w:val="14"/>
              </w:rPr>
            </w:pPr>
            <w:r>
              <w:rPr>
                <w:rFonts w:ascii="(Utiliser une police de caractè" w:hAnsi="(Utiliser une police de caractè"/>
                <w:b/>
                <w:noProof/>
                <w:position w:val="10"/>
                <w:sz w:val="12"/>
                <w:szCs w:val="12"/>
              </w:rPr>
              <w:drawing>
                <wp:inline distT="0" distB="0" distL="0" distR="0">
                  <wp:extent cx="704850" cy="47625"/>
                  <wp:effectExtent l="19050" t="0" r="0" b="0"/>
                  <wp:docPr id="2" name="Image 107"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7" descr="aaaa"/>
                          <pic:cNvPicPr>
                            <a:picLocks noChangeAspect="1" noChangeArrowheads="1"/>
                          </pic:cNvPicPr>
                        </pic:nvPicPr>
                        <pic:blipFill>
                          <a:blip r:embed="rId5" cstate="print"/>
                          <a:srcRect/>
                          <a:stretch>
                            <a:fillRect/>
                          </a:stretch>
                        </pic:blipFill>
                        <pic:spPr bwMode="auto">
                          <a:xfrm>
                            <a:off x="0" y="0"/>
                            <a:ext cx="704850" cy="47625"/>
                          </a:xfrm>
                          <a:prstGeom prst="rect">
                            <a:avLst/>
                          </a:prstGeom>
                          <a:noFill/>
                          <a:ln w="9525">
                            <a:noFill/>
                            <a:miter lim="800000"/>
                            <a:headEnd/>
                            <a:tailEnd/>
                          </a:ln>
                        </pic:spPr>
                      </pic:pic>
                    </a:graphicData>
                  </a:graphic>
                </wp:inline>
              </w:drawing>
            </w:r>
          </w:p>
          <w:p w:rsidR="004B3B94" w:rsidRPr="009816EB" w:rsidRDefault="004B3B94" w:rsidP="004A0F2B">
            <w:pPr>
              <w:keepNext/>
              <w:spacing w:after="0"/>
              <w:jc w:val="center"/>
              <w:outlineLvl w:val="1"/>
              <w:rPr>
                <w:rFonts w:ascii="Arial Narrow" w:hAnsi="Arial Narrow"/>
                <w:b/>
                <w:bCs/>
                <w:caps/>
                <w:sz w:val="21"/>
                <w:szCs w:val="21"/>
              </w:rPr>
            </w:pPr>
            <w:r w:rsidRPr="009816EB">
              <w:rPr>
                <w:rFonts w:ascii="Arial Narrow" w:hAnsi="Arial Narrow"/>
                <w:b/>
                <w:bCs/>
                <w:caps/>
                <w:sz w:val="21"/>
                <w:szCs w:val="21"/>
              </w:rPr>
              <w:t>Direction Générale de l’administration</w:t>
            </w:r>
          </w:p>
          <w:p w:rsidR="004B3B94" w:rsidRPr="009816EB" w:rsidRDefault="004B3B94" w:rsidP="004A0F2B">
            <w:pPr>
              <w:spacing w:after="0"/>
              <w:jc w:val="center"/>
              <w:rPr>
                <w:sz w:val="12"/>
                <w:szCs w:val="12"/>
              </w:rPr>
            </w:pPr>
          </w:p>
          <w:p w:rsidR="004B3B94" w:rsidRPr="009816EB" w:rsidRDefault="004B3B94" w:rsidP="004A0F2B">
            <w:pPr>
              <w:spacing w:after="0"/>
              <w:jc w:val="center"/>
              <w:rPr>
                <w:rFonts w:ascii="Arial Narrow" w:hAnsi="Arial Narrow"/>
                <w:b/>
                <w:bCs/>
                <w:caps/>
                <w:sz w:val="20"/>
              </w:rPr>
            </w:pPr>
            <w:r w:rsidRPr="009816EB">
              <w:rPr>
                <w:rFonts w:ascii="Arial Narrow" w:hAnsi="Arial Narrow"/>
                <w:b/>
                <w:bCs/>
                <w:caps/>
                <w:sz w:val="20"/>
              </w:rPr>
              <w:t>Direction des projets, de la</w:t>
            </w:r>
          </w:p>
          <w:p w:rsidR="004B3B94" w:rsidRPr="009816EB" w:rsidRDefault="004B3B94" w:rsidP="004A0F2B">
            <w:pPr>
              <w:spacing w:after="0"/>
              <w:jc w:val="center"/>
              <w:rPr>
                <w:rFonts w:ascii="Arial Narrow" w:hAnsi="Arial Narrow"/>
                <w:b/>
                <w:bCs/>
                <w:caps/>
                <w:sz w:val="20"/>
              </w:rPr>
            </w:pPr>
            <w:r w:rsidRPr="009816EB">
              <w:rPr>
                <w:rFonts w:ascii="Arial Narrow" w:hAnsi="Arial Narrow"/>
                <w:b/>
                <w:bCs/>
                <w:caps/>
                <w:sz w:val="20"/>
              </w:rPr>
              <w:t>maintenance et des Équipements</w:t>
            </w:r>
          </w:p>
          <w:p w:rsidR="004B3B94" w:rsidRPr="009816EB" w:rsidRDefault="004B3B94" w:rsidP="004A0F2B">
            <w:pPr>
              <w:spacing w:after="0"/>
              <w:jc w:val="center"/>
              <w:rPr>
                <w:rFonts w:ascii="Arial Narrow" w:hAnsi="Arial Narrow"/>
                <w:b/>
                <w:bCs/>
                <w:caps/>
                <w:sz w:val="12"/>
                <w:szCs w:val="12"/>
              </w:rPr>
            </w:pPr>
          </w:p>
          <w:p w:rsidR="004B3B94" w:rsidRPr="005672C7" w:rsidRDefault="004B3B94" w:rsidP="004A0F2B">
            <w:pPr>
              <w:spacing w:after="0"/>
              <w:jc w:val="center"/>
              <w:rPr>
                <w:rFonts w:ascii="Arial Narrow" w:hAnsi="Arial Narrow"/>
                <w:spacing w:val="-4"/>
                <w:sz w:val="20"/>
                <w:u w:val="single"/>
              </w:rPr>
            </w:pPr>
            <w:r w:rsidRPr="005672C7">
              <w:rPr>
                <w:b/>
                <w:bCs/>
                <w:sz w:val="20"/>
                <w:u w:val="single"/>
              </w:rPr>
              <w:t>LE DIRECTEUR</w:t>
            </w:r>
          </w:p>
        </w:tc>
        <w:tc>
          <w:tcPr>
            <w:tcW w:w="2693" w:type="dxa"/>
          </w:tcPr>
          <w:p w:rsidR="004B3B94" w:rsidRPr="009816EB" w:rsidRDefault="004B3B94" w:rsidP="00065BA9">
            <w:pPr>
              <w:jc w:val="left"/>
              <w:rPr>
                <w:rFonts w:ascii="Arial" w:hAnsi="Arial"/>
                <w:caps/>
                <w:sz w:val="18"/>
              </w:rPr>
            </w:pPr>
          </w:p>
          <w:p w:rsidR="004B3B94" w:rsidRDefault="004B3B94" w:rsidP="00065BA9">
            <w:pPr>
              <w:jc w:val="left"/>
              <w:rPr>
                <w:rFonts w:ascii="Arial" w:hAnsi="Arial"/>
                <w:caps/>
                <w:noProof/>
                <w:sz w:val="18"/>
              </w:rPr>
            </w:pPr>
            <w:r>
              <w:rPr>
                <w:rFonts w:ascii="Arial" w:hAnsi="Arial"/>
                <w:caps/>
                <w:noProof/>
                <w:sz w:val="18"/>
              </w:rPr>
              <w:t xml:space="preserve">            </w:t>
            </w:r>
          </w:p>
          <w:p w:rsidR="004B3B94" w:rsidRDefault="004B3B94" w:rsidP="00065BA9">
            <w:pPr>
              <w:jc w:val="left"/>
              <w:rPr>
                <w:rFonts w:ascii="Arial" w:hAnsi="Arial"/>
                <w:caps/>
                <w:noProof/>
                <w:sz w:val="18"/>
              </w:rPr>
            </w:pPr>
          </w:p>
          <w:p w:rsidR="004B3B94" w:rsidRPr="00BC0552" w:rsidRDefault="004B3B94" w:rsidP="00065BA9">
            <w:pPr>
              <w:jc w:val="left"/>
              <w:rPr>
                <w:rFonts w:ascii="Arial" w:hAnsi="Arial"/>
                <w:caps/>
                <w:sz w:val="18"/>
              </w:rPr>
            </w:pPr>
            <w:r>
              <w:rPr>
                <w:rFonts w:ascii="Arial" w:hAnsi="Arial"/>
                <w:caps/>
                <w:noProof/>
                <w:sz w:val="18"/>
              </w:rPr>
              <w:t xml:space="preserve"> </w:t>
            </w:r>
            <w:r>
              <w:rPr>
                <w:rFonts w:ascii="Arial" w:hAnsi="Arial"/>
                <w:caps/>
                <w:noProof/>
                <w:sz w:val="18"/>
              </w:rPr>
              <w:drawing>
                <wp:inline distT="0" distB="0" distL="0" distR="0">
                  <wp:extent cx="981075" cy="1009650"/>
                  <wp:effectExtent l="19050" t="0" r="9525" b="0"/>
                  <wp:docPr id="3" name="Image 108" descr="Logo 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descr="Logo 150x150"/>
                          <pic:cNvPicPr>
                            <a:picLocks noChangeAspect="1" noChangeArrowheads="1"/>
                          </pic:cNvPicPr>
                        </pic:nvPicPr>
                        <pic:blipFill>
                          <a:blip r:embed="rId6" cstate="print"/>
                          <a:srcRect/>
                          <a:stretch>
                            <a:fillRect/>
                          </a:stretch>
                        </pic:blipFill>
                        <pic:spPr bwMode="auto">
                          <a:xfrm>
                            <a:off x="0" y="0"/>
                            <a:ext cx="981075" cy="1009650"/>
                          </a:xfrm>
                          <a:prstGeom prst="rect">
                            <a:avLst/>
                          </a:prstGeom>
                          <a:noFill/>
                          <a:ln w="9525">
                            <a:noFill/>
                            <a:miter lim="800000"/>
                            <a:headEnd/>
                            <a:tailEnd/>
                          </a:ln>
                        </pic:spPr>
                      </pic:pic>
                    </a:graphicData>
                  </a:graphic>
                </wp:inline>
              </w:drawing>
            </w:r>
          </w:p>
          <w:p w:rsidR="004B3B94" w:rsidRPr="00BC0552" w:rsidRDefault="004B3B94" w:rsidP="00065BA9">
            <w:pPr>
              <w:jc w:val="left"/>
              <w:rPr>
                <w:rFonts w:ascii="Arial" w:hAnsi="Arial"/>
                <w:sz w:val="18"/>
              </w:rPr>
            </w:pPr>
          </w:p>
        </w:tc>
        <w:tc>
          <w:tcPr>
            <w:tcW w:w="4439" w:type="dxa"/>
          </w:tcPr>
          <w:p w:rsidR="004B3B94" w:rsidRPr="009816EB" w:rsidRDefault="004B3B94" w:rsidP="004A0F2B">
            <w:pPr>
              <w:keepNext/>
              <w:spacing w:after="0" w:line="192" w:lineRule="auto"/>
              <w:jc w:val="center"/>
              <w:outlineLvl w:val="0"/>
              <w:rPr>
                <w:rFonts w:cs="Traditional Arabic"/>
                <w:b/>
                <w:bCs/>
                <w:sz w:val="32"/>
                <w:szCs w:val="32"/>
                <w:rtl/>
              </w:rPr>
            </w:pPr>
            <w:r w:rsidRPr="009816EB">
              <w:rPr>
                <w:rFonts w:cs="Traditional Arabic" w:hint="cs"/>
                <w:b/>
                <w:bCs/>
                <w:sz w:val="32"/>
                <w:szCs w:val="32"/>
                <w:rtl/>
              </w:rPr>
              <w:t>جـمهـوريـة جيبــوتي</w:t>
            </w:r>
          </w:p>
          <w:p w:rsidR="004B3B94" w:rsidRPr="009816EB" w:rsidRDefault="004B3B94" w:rsidP="004A0F2B">
            <w:pPr>
              <w:bidi/>
              <w:spacing w:after="0"/>
              <w:jc w:val="center"/>
              <w:rPr>
                <w:rFonts w:cs="Arabic Transparent"/>
                <w:sz w:val="12"/>
                <w:szCs w:val="12"/>
                <w:rtl/>
                <w:lang w:bidi="ar-TN"/>
              </w:rPr>
            </w:pPr>
            <w:proofErr w:type="gramStart"/>
            <w:r w:rsidRPr="009816EB">
              <w:rPr>
                <w:rFonts w:cs="Arabic Transparent" w:hint="cs"/>
                <w:sz w:val="20"/>
                <w:rtl/>
                <w:lang w:bidi="ar-TN"/>
              </w:rPr>
              <w:t>وحـدة</w:t>
            </w:r>
            <w:proofErr w:type="gramEnd"/>
            <w:r w:rsidRPr="009816EB">
              <w:rPr>
                <w:rFonts w:cs="Arabic Transparent" w:hint="cs"/>
                <w:sz w:val="20"/>
                <w:rtl/>
                <w:lang w:bidi="ar-TN"/>
              </w:rPr>
              <w:t xml:space="preserve"> </w:t>
            </w:r>
            <w:proofErr w:type="spellStart"/>
            <w:r w:rsidRPr="009816EB">
              <w:rPr>
                <w:rFonts w:cs="Arabic Transparent"/>
                <w:sz w:val="20"/>
                <w:rtl/>
                <w:lang w:bidi="ar-TN"/>
              </w:rPr>
              <w:t>–</w:t>
            </w:r>
            <w:proofErr w:type="spellEnd"/>
            <w:r w:rsidRPr="009816EB">
              <w:rPr>
                <w:rFonts w:cs="Arabic Transparent" w:hint="cs"/>
                <w:sz w:val="20"/>
                <w:rtl/>
                <w:lang w:bidi="ar-TN"/>
              </w:rPr>
              <w:t xml:space="preserve"> </w:t>
            </w:r>
            <w:proofErr w:type="spellStart"/>
            <w:r w:rsidRPr="009816EB">
              <w:rPr>
                <w:rFonts w:cs="Arabic Transparent" w:hint="cs"/>
                <w:sz w:val="20"/>
                <w:rtl/>
                <w:lang w:bidi="ar-TN"/>
              </w:rPr>
              <w:t>مسـاواة-</w:t>
            </w:r>
            <w:proofErr w:type="spellEnd"/>
            <w:r w:rsidRPr="009816EB">
              <w:rPr>
                <w:rFonts w:cs="Arabic Transparent" w:hint="cs"/>
                <w:sz w:val="20"/>
                <w:rtl/>
                <w:lang w:bidi="ar-TN"/>
              </w:rPr>
              <w:t xml:space="preserve"> سـلام</w:t>
            </w:r>
          </w:p>
          <w:p w:rsidR="004B3B94" w:rsidRPr="009816EB" w:rsidRDefault="004B3B94" w:rsidP="004A0F2B">
            <w:pPr>
              <w:spacing w:before="120" w:after="0"/>
              <w:jc w:val="center"/>
              <w:rPr>
                <w:rFonts w:ascii="(Utiliser une police de caractè" w:hAnsi="(Utiliser une police de caractè"/>
                <w:b/>
                <w:bCs/>
                <w:position w:val="10"/>
                <w:sz w:val="12"/>
                <w:szCs w:val="12"/>
              </w:rPr>
            </w:pPr>
            <w:r>
              <w:rPr>
                <w:rFonts w:ascii="(Utiliser une police de caractè" w:hAnsi="(Utiliser une police de caractè"/>
                <w:b/>
                <w:noProof/>
                <w:position w:val="10"/>
                <w:sz w:val="12"/>
                <w:szCs w:val="12"/>
              </w:rPr>
              <w:drawing>
                <wp:inline distT="0" distB="0" distL="0" distR="0">
                  <wp:extent cx="704850" cy="47625"/>
                  <wp:effectExtent l="19050" t="0" r="0" b="0"/>
                  <wp:docPr id="4" name="Image 109"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9" descr="aaaa"/>
                          <pic:cNvPicPr>
                            <a:picLocks noChangeAspect="1" noChangeArrowheads="1"/>
                          </pic:cNvPicPr>
                        </pic:nvPicPr>
                        <pic:blipFill>
                          <a:blip r:embed="rId5" cstate="print"/>
                          <a:srcRect/>
                          <a:stretch>
                            <a:fillRect/>
                          </a:stretch>
                        </pic:blipFill>
                        <pic:spPr bwMode="auto">
                          <a:xfrm>
                            <a:off x="0" y="0"/>
                            <a:ext cx="704850" cy="47625"/>
                          </a:xfrm>
                          <a:prstGeom prst="rect">
                            <a:avLst/>
                          </a:prstGeom>
                          <a:noFill/>
                          <a:ln w="9525">
                            <a:noFill/>
                            <a:miter lim="800000"/>
                            <a:headEnd/>
                            <a:tailEnd/>
                          </a:ln>
                        </pic:spPr>
                      </pic:pic>
                    </a:graphicData>
                  </a:graphic>
                </wp:inline>
              </w:drawing>
            </w:r>
          </w:p>
          <w:p w:rsidR="004B3B94" w:rsidRPr="009816EB" w:rsidRDefault="004B3B94" w:rsidP="004A0F2B">
            <w:pPr>
              <w:keepNext/>
              <w:bidi/>
              <w:spacing w:after="0" w:line="192" w:lineRule="auto"/>
              <w:jc w:val="center"/>
              <w:outlineLvl w:val="1"/>
              <w:rPr>
                <w:rFonts w:cs="Traditional Arabic"/>
                <w:b/>
                <w:bCs/>
                <w:sz w:val="34"/>
                <w:szCs w:val="34"/>
                <w:rtl/>
                <w:lang w:bidi="ar-TN"/>
              </w:rPr>
            </w:pPr>
            <w:r w:rsidRPr="009816EB">
              <w:rPr>
                <w:rFonts w:cs="Traditional Arabic" w:hint="cs"/>
                <w:b/>
                <w:bCs/>
                <w:sz w:val="34"/>
                <w:szCs w:val="34"/>
                <w:rtl/>
                <w:lang w:bidi="ar-TN"/>
              </w:rPr>
              <w:t>وزارة التربيـة الوطنيـة والت</w:t>
            </w:r>
            <w:r w:rsidRPr="009816EB">
              <w:rPr>
                <w:rFonts w:cs="Traditional Arabic" w:hint="cs"/>
                <w:b/>
                <w:bCs/>
                <w:sz w:val="34"/>
                <w:szCs w:val="34"/>
                <w:rtl/>
                <w:lang w:val="en-US" w:bidi="ar-TN"/>
              </w:rPr>
              <w:t>كوين المهني</w:t>
            </w:r>
          </w:p>
          <w:p w:rsidR="004B3B94" w:rsidRPr="009816EB" w:rsidRDefault="004B3B94" w:rsidP="004A0F2B">
            <w:pPr>
              <w:spacing w:before="120" w:after="0"/>
              <w:jc w:val="center"/>
              <w:rPr>
                <w:rFonts w:ascii="(Utiliser une police de caractè" w:hAnsi="(Utiliser une police de caractè"/>
                <w:b/>
                <w:bCs/>
                <w:position w:val="10"/>
                <w:sz w:val="12"/>
                <w:szCs w:val="12"/>
              </w:rPr>
            </w:pPr>
            <w:r>
              <w:rPr>
                <w:rFonts w:ascii="(Utiliser une police de caractè" w:hAnsi="(Utiliser une police de caractè"/>
                <w:b/>
                <w:noProof/>
                <w:position w:val="10"/>
                <w:sz w:val="12"/>
                <w:szCs w:val="12"/>
              </w:rPr>
              <w:drawing>
                <wp:inline distT="0" distB="0" distL="0" distR="0">
                  <wp:extent cx="704850" cy="47625"/>
                  <wp:effectExtent l="19050" t="0" r="0" b="0"/>
                  <wp:docPr id="5" name="Image 110"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 descr="aaaa"/>
                          <pic:cNvPicPr>
                            <a:picLocks noChangeAspect="1" noChangeArrowheads="1"/>
                          </pic:cNvPicPr>
                        </pic:nvPicPr>
                        <pic:blipFill>
                          <a:blip r:embed="rId5" cstate="print"/>
                          <a:srcRect/>
                          <a:stretch>
                            <a:fillRect/>
                          </a:stretch>
                        </pic:blipFill>
                        <pic:spPr bwMode="auto">
                          <a:xfrm>
                            <a:off x="0" y="0"/>
                            <a:ext cx="704850" cy="47625"/>
                          </a:xfrm>
                          <a:prstGeom prst="rect">
                            <a:avLst/>
                          </a:prstGeom>
                          <a:noFill/>
                          <a:ln w="9525">
                            <a:noFill/>
                            <a:miter lim="800000"/>
                            <a:headEnd/>
                            <a:tailEnd/>
                          </a:ln>
                        </pic:spPr>
                      </pic:pic>
                    </a:graphicData>
                  </a:graphic>
                </wp:inline>
              </w:drawing>
            </w:r>
          </w:p>
          <w:p w:rsidR="004B3B94" w:rsidRPr="009816EB" w:rsidRDefault="004B3B94" w:rsidP="004A0F2B">
            <w:pPr>
              <w:keepNext/>
              <w:bidi/>
              <w:spacing w:after="0" w:line="192" w:lineRule="auto"/>
              <w:jc w:val="center"/>
              <w:outlineLvl w:val="1"/>
              <w:rPr>
                <w:rFonts w:cs="Traditional Arabic"/>
                <w:b/>
                <w:bCs/>
                <w:sz w:val="30"/>
                <w:szCs w:val="30"/>
                <w:lang w:bidi="ar-TN"/>
              </w:rPr>
            </w:pPr>
            <w:r w:rsidRPr="009816EB">
              <w:rPr>
                <w:rFonts w:cs="Traditional Arabic"/>
                <w:b/>
                <w:bCs/>
                <w:sz w:val="30"/>
                <w:szCs w:val="30"/>
                <w:rtl/>
                <w:lang w:val="en-US" w:bidi="ar-TN"/>
              </w:rPr>
              <w:t>المدي</w:t>
            </w:r>
            <w:r w:rsidRPr="009816EB">
              <w:rPr>
                <w:rFonts w:cs="Traditional Arabic" w:hint="cs"/>
                <w:b/>
                <w:bCs/>
                <w:sz w:val="30"/>
                <w:szCs w:val="30"/>
                <w:rtl/>
                <w:lang w:val="en-US" w:bidi="ar-TN"/>
              </w:rPr>
              <w:t>ــ</w:t>
            </w:r>
            <w:r w:rsidRPr="009816EB">
              <w:rPr>
                <w:rFonts w:cs="Traditional Arabic"/>
                <w:b/>
                <w:bCs/>
                <w:sz w:val="30"/>
                <w:szCs w:val="30"/>
                <w:rtl/>
                <w:lang w:val="en-US" w:bidi="ar-TN"/>
              </w:rPr>
              <w:t>رية</w:t>
            </w:r>
            <w:r w:rsidRPr="009816EB">
              <w:rPr>
                <w:rFonts w:cs="Traditional Arabic" w:hint="cs"/>
                <w:b/>
                <w:bCs/>
                <w:sz w:val="30"/>
                <w:szCs w:val="30"/>
                <w:rtl/>
                <w:lang w:val="en-US" w:bidi="ar-TN"/>
              </w:rPr>
              <w:t xml:space="preserve"> </w:t>
            </w:r>
            <w:r w:rsidRPr="009816EB">
              <w:rPr>
                <w:rFonts w:cs="Traditional Arabic"/>
                <w:b/>
                <w:bCs/>
                <w:sz w:val="30"/>
                <w:szCs w:val="30"/>
                <w:rtl/>
                <w:lang w:val="en-US" w:bidi="ar-TN"/>
              </w:rPr>
              <w:t>العـامــة</w:t>
            </w:r>
            <w:r w:rsidRPr="009816EB">
              <w:rPr>
                <w:rFonts w:cs="Traditional Arabic" w:hint="cs"/>
                <w:b/>
                <w:bCs/>
                <w:sz w:val="30"/>
                <w:szCs w:val="30"/>
                <w:rtl/>
                <w:lang w:val="en-US" w:bidi="ar-TN"/>
              </w:rPr>
              <w:t xml:space="preserve"> للإدارة</w:t>
            </w:r>
          </w:p>
          <w:p w:rsidR="004B3B94" w:rsidRPr="009816EB" w:rsidRDefault="004B3B94" w:rsidP="004A0F2B">
            <w:pPr>
              <w:bidi/>
              <w:spacing w:after="0"/>
              <w:jc w:val="center"/>
              <w:rPr>
                <w:rFonts w:cs="Traditional Arabic"/>
                <w:b/>
                <w:bCs/>
                <w:sz w:val="28"/>
                <w:szCs w:val="28"/>
                <w:rtl/>
                <w:lang w:val="en-US" w:bidi="ar-TN"/>
              </w:rPr>
            </w:pPr>
            <w:proofErr w:type="gramStart"/>
            <w:r w:rsidRPr="009816EB">
              <w:rPr>
                <w:rFonts w:cs="Traditional Arabic" w:hint="cs"/>
                <w:b/>
                <w:bCs/>
                <w:sz w:val="28"/>
                <w:szCs w:val="28"/>
                <w:rtl/>
                <w:lang w:val="en-US" w:bidi="ar-TN"/>
              </w:rPr>
              <w:t>إدارة</w:t>
            </w:r>
            <w:proofErr w:type="gramEnd"/>
            <w:r w:rsidRPr="009816EB">
              <w:rPr>
                <w:rFonts w:cs="Traditional Arabic" w:hint="cs"/>
                <w:b/>
                <w:bCs/>
                <w:sz w:val="28"/>
                <w:szCs w:val="28"/>
                <w:rtl/>
                <w:lang w:val="en-US" w:bidi="ar-TN"/>
              </w:rPr>
              <w:t xml:space="preserve"> المشـاريع و</w:t>
            </w:r>
            <w:r w:rsidRPr="009816EB">
              <w:rPr>
                <w:rFonts w:cs="Traditional Arabic"/>
                <w:b/>
                <w:bCs/>
                <w:sz w:val="28"/>
                <w:szCs w:val="28"/>
                <w:lang w:bidi="ar-TN"/>
              </w:rPr>
              <w:t xml:space="preserve"> </w:t>
            </w:r>
            <w:r w:rsidRPr="009816EB">
              <w:rPr>
                <w:rFonts w:cs="Traditional Arabic" w:hint="cs"/>
                <w:b/>
                <w:bCs/>
                <w:sz w:val="28"/>
                <w:szCs w:val="28"/>
                <w:rtl/>
                <w:lang w:val="en-US" w:bidi="ar-TN"/>
              </w:rPr>
              <w:t>الصيـانة و</w:t>
            </w:r>
            <w:r w:rsidRPr="009816EB">
              <w:rPr>
                <w:rFonts w:cs="Traditional Arabic"/>
                <w:b/>
                <w:bCs/>
                <w:sz w:val="28"/>
                <w:szCs w:val="28"/>
                <w:lang w:bidi="ar-TN"/>
              </w:rPr>
              <w:t xml:space="preserve"> </w:t>
            </w:r>
            <w:r w:rsidRPr="009816EB">
              <w:rPr>
                <w:rFonts w:cs="Traditional Arabic" w:hint="cs"/>
                <w:b/>
                <w:bCs/>
                <w:sz w:val="28"/>
                <w:szCs w:val="28"/>
                <w:rtl/>
                <w:lang w:val="en-US" w:bidi="ar-TN"/>
              </w:rPr>
              <w:t>ال</w:t>
            </w:r>
            <w:r w:rsidRPr="009816EB">
              <w:rPr>
                <w:rFonts w:cs="Traditional Arabic" w:hint="cs"/>
                <w:b/>
                <w:bCs/>
                <w:sz w:val="28"/>
                <w:szCs w:val="28"/>
                <w:rtl/>
                <w:lang w:bidi="ar-TN"/>
              </w:rPr>
              <w:t>تجهيـزات</w:t>
            </w:r>
          </w:p>
          <w:p w:rsidR="004B3B94" w:rsidRPr="005672C7" w:rsidRDefault="004B3B94" w:rsidP="004A0F2B">
            <w:pPr>
              <w:tabs>
                <w:tab w:val="left" w:pos="285"/>
                <w:tab w:val="left" w:pos="7890"/>
              </w:tabs>
              <w:spacing w:after="0"/>
              <w:jc w:val="center"/>
              <w:rPr>
                <w:caps/>
                <w:u w:val="single"/>
              </w:rPr>
            </w:pPr>
            <w:proofErr w:type="gramStart"/>
            <w:r w:rsidRPr="005672C7">
              <w:rPr>
                <w:rFonts w:cs="Traditional Arabic" w:hint="cs"/>
                <w:b/>
                <w:bCs/>
                <w:sz w:val="32"/>
                <w:szCs w:val="32"/>
                <w:u w:val="single"/>
                <w:rtl/>
                <w:lang w:bidi="ar-TN"/>
              </w:rPr>
              <w:t>المـــدير</w:t>
            </w:r>
            <w:proofErr w:type="gramEnd"/>
          </w:p>
          <w:p w:rsidR="004B3B94" w:rsidRPr="009816EB" w:rsidRDefault="004B3B94" w:rsidP="00065BA9">
            <w:pPr>
              <w:bidi/>
              <w:jc w:val="left"/>
              <w:rPr>
                <w:b/>
                <w:bCs/>
                <w:sz w:val="28"/>
                <w:szCs w:val="28"/>
              </w:rPr>
            </w:pPr>
          </w:p>
        </w:tc>
      </w:tr>
    </w:tbl>
    <w:p w:rsidR="004A0F2B" w:rsidRDefault="004B3B94" w:rsidP="004B3B94">
      <w:pPr>
        <w:pStyle w:val="UG-Title"/>
        <w:spacing w:after="0"/>
        <w:rPr>
          <w:sz w:val="22"/>
          <w:szCs w:val="22"/>
          <w:lang w:val="fr-FR"/>
        </w:rPr>
      </w:pPr>
      <w:r>
        <w:rPr>
          <w:sz w:val="22"/>
          <w:szCs w:val="22"/>
          <w:lang w:val="fr-FR"/>
        </w:rPr>
        <w:t xml:space="preserve">  </w:t>
      </w:r>
      <w:r w:rsidR="00CB5982">
        <w:rPr>
          <w:sz w:val="22"/>
          <w:szCs w:val="22"/>
          <w:lang w:val="fr-FR"/>
        </w:rPr>
        <w:t xml:space="preserve"> </w:t>
      </w:r>
    </w:p>
    <w:p w:rsidR="00CB5982" w:rsidRPr="00BA0596" w:rsidRDefault="00CB5982" w:rsidP="004B3B94">
      <w:pPr>
        <w:pStyle w:val="UG-Title"/>
        <w:spacing w:after="0"/>
        <w:rPr>
          <w:sz w:val="22"/>
          <w:szCs w:val="22"/>
        </w:rPr>
      </w:pPr>
      <w:r w:rsidRPr="00BA0596">
        <w:rPr>
          <w:sz w:val="22"/>
          <w:szCs w:val="22"/>
          <w:lang w:val="fr-FR"/>
        </w:rPr>
        <w:t xml:space="preserve">Avis Spécifique d’Appel d’Offres </w:t>
      </w:r>
      <w:r w:rsidRPr="00BA0596">
        <w:rPr>
          <w:sz w:val="22"/>
          <w:szCs w:val="22"/>
          <w:lang w:val="fr-FR"/>
        </w:rPr>
        <w:br/>
      </w:r>
      <w:bookmarkEnd w:id="0"/>
      <w:bookmarkEnd w:id="1"/>
      <w:bookmarkEnd w:id="2"/>
    </w:p>
    <w:p w:rsidR="00CB5982" w:rsidRPr="00BA0596" w:rsidRDefault="004B3B94" w:rsidP="004B3B94">
      <w:pPr>
        <w:spacing w:after="0"/>
        <w:ind w:left="3540" w:firstLine="0"/>
        <w:rPr>
          <w:b/>
          <w:bCs/>
          <w:sz w:val="22"/>
          <w:szCs w:val="22"/>
        </w:rPr>
      </w:pPr>
      <w:r>
        <w:rPr>
          <w:b/>
          <w:bCs/>
          <w:iCs/>
          <w:sz w:val="22"/>
          <w:szCs w:val="22"/>
        </w:rPr>
        <w:t xml:space="preserve">   </w:t>
      </w:r>
      <w:r w:rsidR="00CB5982" w:rsidRPr="00BA0596">
        <w:rPr>
          <w:b/>
          <w:bCs/>
          <w:iCs/>
          <w:sz w:val="22"/>
          <w:szCs w:val="22"/>
        </w:rPr>
        <w:t xml:space="preserve">Pays </w:t>
      </w:r>
      <w:r w:rsidR="00CB5982" w:rsidRPr="00BA0596">
        <w:rPr>
          <w:b/>
          <w:bCs/>
          <w:sz w:val="22"/>
          <w:szCs w:val="22"/>
        </w:rPr>
        <w:t>: DJIBOUTI</w:t>
      </w:r>
    </w:p>
    <w:p w:rsidR="004B3B94" w:rsidRDefault="00CB5982" w:rsidP="004A0F2B">
      <w:pPr>
        <w:spacing w:after="0"/>
        <w:jc w:val="center"/>
        <w:rPr>
          <w:b/>
          <w:bCs/>
          <w:sz w:val="22"/>
          <w:szCs w:val="22"/>
          <w:lang w:eastAsia="en-US"/>
        </w:rPr>
      </w:pPr>
      <w:r w:rsidRPr="00BA0596">
        <w:rPr>
          <w:sz w:val="22"/>
          <w:szCs w:val="22"/>
          <w:shd w:val="clear" w:color="auto" w:fill="FFFFFF"/>
        </w:rPr>
        <w:t>Project de développement des compétences pour l’emploi</w:t>
      </w:r>
      <w:r w:rsidRPr="00BA0596">
        <w:rPr>
          <w:b/>
          <w:bCs/>
          <w:sz w:val="22"/>
          <w:szCs w:val="22"/>
          <w:lang w:eastAsia="en-US"/>
        </w:rPr>
        <w:t xml:space="preserve"> (PDCE-SKILLS)</w:t>
      </w:r>
    </w:p>
    <w:p w:rsidR="00CB5982" w:rsidRPr="00BA0596" w:rsidRDefault="00CB5982" w:rsidP="00CB5982">
      <w:pPr>
        <w:jc w:val="center"/>
        <w:rPr>
          <w:b/>
          <w:bCs/>
          <w:sz w:val="22"/>
          <w:szCs w:val="22"/>
          <w:lang w:eastAsia="en-US"/>
        </w:rPr>
      </w:pPr>
      <w:r w:rsidRPr="00BA0596">
        <w:rPr>
          <w:b/>
          <w:bCs/>
          <w:sz w:val="22"/>
          <w:szCs w:val="22"/>
          <w:lang w:eastAsia="en-US"/>
        </w:rPr>
        <w:t>DOSSIER D’APPEL D’OFFRES INTERATIONAL (AOI)</w:t>
      </w:r>
    </w:p>
    <w:p w:rsidR="00CB5982" w:rsidRPr="005F6209" w:rsidRDefault="00CB5982" w:rsidP="00CB5982">
      <w:pPr>
        <w:shd w:val="clear" w:color="auto" w:fill="FFFFFF"/>
        <w:spacing w:after="0"/>
        <w:ind w:left="-630" w:right="-450" w:firstLine="0"/>
        <w:jc w:val="center"/>
        <w:rPr>
          <w:b/>
          <w:sz w:val="22"/>
          <w:szCs w:val="22"/>
          <w:u w:val="single"/>
          <w:shd w:val="clear" w:color="auto" w:fill="FFFFFF"/>
          <w:lang w:val="en-US"/>
        </w:rPr>
      </w:pPr>
      <w:r w:rsidRPr="005F6209">
        <w:rPr>
          <w:bCs/>
          <w:sz w:val="22"/>
          <w:szCs w:val="22"/>
          <w:lang w:val="en-US"/>
        </w:rPr>
        <w:t xml:space="preserve">N°: </w:t>
      </w:r>
      <w:r w:rsidRPr="005F6209">
        <w:rPr>
          <w:b/>
          <w:sz w:val="22"/>
          <w:szCs w:val="22"/>
          <w:u w:val="single"/>
          <w:shd w:val="clear" w:color="auto" w:fill="FFFFFF"/>
          <w:lang w:val="en-US"/>
        </w:rPr>
        <w:t>AOI N°01/TVX/SGP-SKILLS/2026</w:t>
      </w:r>
    </w:p>
    <w:p w:rsidR="00CB5982" w:rsidRPr="005F6209" w:rsidRDefault="00CB5982" w:rsidP="00CB5982">
      <w:pPr>
        <w:spacing w:after="120"/>
        <w:ind w:left="0" w:firstLine="0"/>
        <w:rPr>
          <w:b/>
          <w:bCs/>
          <w:iCs/>
          <w:sz w:val="22"/>
          <w:szCs w:val="22"/>
          <w:lang w:val="en-US"/>
        </w:rPr>
      </w:pPr>
    </w:p>
    <w:p w:rsidR="00CB5982" w:rsidRPr="00BA0596" w:rsidRDefault="00CB5982" w:rsidP="00CB5982">
      <w:pPr>
        <w:spacing w:after="120"/>
        <w:jc w:val="left"/>
        <w:rPr>
          <w:b/>
          <w:bCs/>
          <w:sz w:val="22"/>
          <w:szCs w:val="22"/>
        </w:rPr>
      </w:pPr>
      <w:r w:rsidRPr="00BA0596">
        <w:rPr>
          <w:b/>
          <w:bCs/>
          <w:iCs/>
          <w:sz w:val="22"/>
          <w:szCs w:val="22"/>
        </w:rPr>
        <w:t xml:space="preserve">Pays </w:t>
      </w:r>
      <w:r w:rsidRPr="00BA0596">
        <w:rPr>
          <w:b/>
          <w:bCs/>
          <w:sz w:val="22"/>
          <w:szCs w:val="22"/>
        </w:rPr>
        <w:t xml:space="preserve">: </w:t>
      </w:r>
      <w:r w:rsidRPr="00BA0596">
        <w:rPr>
          <w:sz w:val="22"/>
          <w:szCs w:val="22"/>
        </w:rPr>
        <w:t>Djibouti</w:t>
      </w:r>
    </w:p>
    <w:p w:rsidR="00CB5982" w:rsidRPr="00BA0596" w:rsidRDefault="00CB5982" w:rsidP="00CB5982">
      <w:pPr>
        <w:spacing w:before="120" w:after="120"/>
        <w:jc w:val="left"/>
        <w:rPr>
          <w:sz w:val="22"/>
          <w:szCs w:val="22"/>
        </w:rPr>
      </w:pPr>
      <w:r w:rsidRPr="00BA0596">
        <w:rPr>
          <w:b/>
          <w:bCs/>
          <w:sz w:val="22"/>
          <w:szCs w:val="22"/>
        </w:rPr>
        <w:t>Maître d’Ouvrage </w:t>
      </w:r>
      <w:r w:rsidRPr="00BA0596">
        <w:rPr>
          <w:i/>
          <w:iCs/>
          <w:sz w:val="22"/>
          <w:szCs w:val="22"/>
        </w:rPr>
        <w:t xml:space="preserve">: </w:t>
      </w:r>
      <w:r w:rsidRPr="00BA0596">
        <w:rPr>
          <w:sz w:val="22"/>
          <w:szCs w:val="22"/>
        </w:rPr>
        <w:t>Service de Gestion des Projets du Ministère de l’Education Nationale</w:t>
      </w:r>
    </w:p>
    <w:p w:rsidR="00CB5982" w:rsidRDefault="00CB5982" w:rsidP="00CB5982">
      <w:pPr>
        <w:spacing w:after="0" w:line="360" w:lineRule="auto"/>
        <w:rPr>
          <w:b/>
          <w:bCs/>
          <w:sz w:val="22"/>
          <w:szCs w:val="22"/>
          <w:lang w:eastAsia="en-US"/>
        </w:rPr>
      </w:pPr>
      <w:r w:rsidRPr="00BA0596">
        <w:rPr>
          <w:b/>
          <w:bCs/>
          <w:sz w:val="22"/>
          <w:szCs w:val="22"/>
        </w:rPr>
        <w:t>Projet</w:t>
      </w:r>
      <w:r w:rsidRPr="00BA0596">
        <w:rPr>
          <w:i/>
          <w:iCs/>
          <w:sz w:val="22"/>
          <w:szCs w:val="22"/>
        </w:rPr>
        <w:t xml:space="preserve"> : </w:t>
      </w:r>
      <w:r w:rsidRPr="00BA0596">
        <w:rPr>
          <w:sz w:val="22"/>
          <w:szCs w:val="22"/>
          <w:shd w:val="clear" w:color="auto" w:fill="FFFFFF"/>
        </w:rPr>
        <w:t>Project de développement des compétences pour l’emploi</w:t>
      </w:r>
      <w:r>
        <w:rPr>
          <w:sz w:val="22"/>
          <w:szCs w:val="22"/>
          <w:shd w:val="clear" w:color="auto" w:fill="FFFFFF"/>
        </w:rPr>
        <w:t xml:space="preserve"> à Djibouti</w:t>
      </w:r>
      <w:r w:rsidRPr="00BA0596">
        <w:rPr>
          <w:b/>
          <w:bCs/>
          <w:sz w:val="22"/>
          <w:szCs w:val="22"/>
          <w:lang w:eastAsia="en-US"/>
        </w:rPr>
        <w:t xml:space="preserve"> (PDCE-SKILLS)</w:t>
      </w:r>
    </w:p>
    <w:p w:rsidR="00CB5982" w:rsidRPr="00D751F5" w:rsidRDefault="00CB5982" w:rsidP="00CB5982">
      <w:pPr>
        <w:spacing w:after="0"/>
        <w:rPr>
          <w:b/>
          <w:bCs/>
          <w:strike/>
          <w:color w:val="FF0000"/>
          <w:sz w:val="22"/>
          <w:szCs w:val="22"/>
          <w:lang w:eastAsia="en-US"/>
        </w:rPr>
      </w:pPr>
      <w:r w:rsidRPr="00A41D4C">
        <w:rPr>
          <w:b/>
          <w:bCs/>
          <w:sz w:val="22"/>
          <w:szCs w:val="22"/>
        </w:rPr>
        <w:t>Titre du Marché</w:t>
      </w:r>
      <w:r w:rsidRPr="00A41D4C">
        <w:rPr>
          <w:sz w:val="22"/>
          <w:szCs w:val="22"/>
        </w:rPr>
        <w:t xml:space="preserve"> : Travaux de construction d’un centre </w:t>
      </w:r>
      <w:r>
        <w:rPr>
          <w:sz w:val="22"/>
          <w:szCs w:val="22"/>
        </w:rPr>
        <w:t>multi</w:t>
      </w:r>
      <w:r w:rsidRPr="00A41D4C">
        <w:rPr>
          <w:sz w:val="22"/>
          <w:szCs w:val="22"/>
        </w:rPr>
        <w:t xml:space="preserve">sectoriel de formation professionnelle </w:t>
      </w:r>
    </w:p>
    <w:p w:rsidR="00CB5982" w:rsidRPr="00BA0596" w:rsidRDefault="00CB5982" w:rsidP="00CB5982">
      <w:pPr>
        <w:spacing w:after="120"/>
        <w:rPr>
          <w:sz w:val="22"/>
          <w:szCs w:val="22"/>
        </w:rPr>
      </w:pPr>
    </w:p>
    <w:p w:rsidR="00CB5982" w:rsidRPr="00BA0596" w:rsidRDefault="00CB5982" w:rsidP="00CB5982">
      <w:pPr>
        <w:spacing w:after="120"/>
        <w:rPr>
          <w:i/>
          <w:sz w:val="22"/>
          <w:szCs w:val="22"/>
        </w:rPr>
      </w:pPr>
      <w:r w:rsidRPr="00BA0596">
        <w:rPr>
          <w:b/>
          <w:bCs/>
          <w:sz w:val="22"/>
          <w:szCs w:val="22"/>
        </w:rPr>
        <w:t>Référence de l’AOI</w:t>
      </w:r>
      <w:r w:rsidRPr="00BA0596">
        <w:rPr>
          <w:sz w:val="22"/>
          <w:szCs w:val="22"/>
        </w:rPr>
        <w:t xml:space="preserve"> : </w:t>
      </w:r>
      <w:r w:rsidRPr="00BA0596">
        <w:rPr>
          <w:b/>
          <w:sz w:val="22"/>
          <w:szCs w:val="22"/>
          <w:u w:val="single"/>
          <w:shd w:val="clear" w:color="auto" w:fill="FFFFFF"/>
        </w:rPr>
        <w:t>N°01/TVX/SGP-SKILLS/2026</w:t>
      </w:r>
    </w:p>
    <w:p w:rsidR="00CB5982" w:rsidRPr="00BA0596" w:rsidRDefault="00CB5982" w:rsidP="00CB5982">
      <w:pPr>
        <w:spacing w:before="240" w:after="120"/>
        <w:rPr>
          <w:rFonts w:eastAsiaTheme="minorEastAsia"/>
          <w:b/>
          <w:bCs/>
          <w:color w:val="0000FF"/>
          <w:sz w:val="22"/>
          <w:szCs w:val="22"/>
          <w:lang w:eastAsia="en-US"/>
        </w:rPr>
      </w:pPr>
      <w:r w:rsidRPr="00BA0596">
        <w:rPr>
          <w:b/>
          <w:bCs/>
          <w:sz w:val="22"/>
          <w:szCs w:val="22"/>
        </w:rPr>
        <w:t>Emis :</w:t>
      </w:r>
      <w:r w:rsidRPr="00D751F5">
        <w:rPr>
          <w:color w:val="FF0000"/>
          <w:sz w:val="22"/>
          <w:szCs w:val="22"/>
        </w:rPr>
        <w:t xml:space="preserve"> </w:t>
      </w:r>
      <w:r w:rsidRPr="00333774">
        <w:rPr>
          <w:sz w:val="22"/>
          <w:szCs w:val="22"/>
        </w:rPr>
        <w:t xml:space="preserve">Le </w:t>
      </w:r>
      <w:r>
        <w:rPr>
          <w:sz w:val="22"/>
          <w:szCs w:val="22"/>
        </w:rPr>
        <w:t>05</w:t>
      </w:r>
      <w:r w:rsidRPr="00333774">
        <w:rPr>
          <w:sz w:val="22"/>
          <w:szCs w:val="22"/>
        </w:rPr>
        <w:t xml:space="preserve"> mars 2026</w:t>
      </w:r>
    </w:p>
    <w:p w:rsidR="00CB5982" w:rsidRPr="00BA0596" w:rsidRDefault="00CB5982" w:rsidP="00CB5982">
      <w:pPr>
        <w:spacing w:before="240" w:after="120"/>
        <w:rPr>
          <w:i/>
          <w:sz w:val="22"/>
          <w:szCs w:val="22"/>
        </w:rPr>
      </w:pPr>
    </w:p>
    <w:p w:rsidR="00CB5982" w:rsidRPr="00BA0596" w:rsidRDefault="00CB5982" w:rsidP="00CB5982">
      <w:pPr>
        <w:numPr>
          <w:ilvl w:val="2"/>
          <w:numId w:val="1"/>
        </w:numPr>
        <w:spacing w:before="120" w:after="120"/>
        <w:ind w:left="720" w:hanging="630"/>
        <w:rPr>
          <w:sz w:val="22"/>
          <w:szCs w:val="22"/>
        </w:rPr>
      </w:pPr>
      <w:r w:rsidRPr="00BA0596">
        <w:rPr>
          <w:sz w:val="22"/>
          <w:szCs w:val="22"/>
        </w:rPr>
        <w:t xml:space="preserve">Le </w:t>
      </w:r>
      <w:r w:rsidRPr="00BA0596">
        <w:rPr>
          <w:iCs/>
          <w:sz w:val="22"/>
          <w:szCs w:val="22"/>
        </w:rPr>
        <w:t>Gouvernement de la République de Djibouti a reçu</w:t>
      </w:r>
      <w:r w:rsidRPr="00BA0596">
        <w:rPr>
          <w:i/>
          <w:iCs/>
          <w:sz w:val="22"/>
          <w:szCs w:val="22"/>
        </w:rPr>
        <w:t xml:space="preserve"> </w:t>
      </w:r>
      <w:r w:rsidRPr="00BA0596">
        <w:rPr>
          <w:sz w:val="22"/>
          <w:szCs w:val="22"/>
        </w:rPr>
        <w:t xml:space="preserve">un </w:t>
      </w:r>
      <w:r w:rsidRPr="00BA0596">
        <w:rPr>
          <w:iCs/>
          <w:sz w:val="22"/>
          <w:szCs w:val="22"/>
        </w:rPr>
        <w:t>financement</w:t>
      </w:r>
      <w:r w:rsidRPr="00BA0596">
        <w:rPr>
          <w:sz w:val="22"/>
          <w:szCs w:val="22"/>
        </w:rPr>
        <w:t xml:space="preserve"> de la </w:t>
      </w:r>
      <w:r w:rsidRPr="00BA0596">
        <w:rPr>
          <w:iCs/>
          <w:sz w:val="22"/>
          <w:szCs w:val="22"/>
        </w:rPr>
        <w:t>Banque Mondiale</w:t>
      </w:r>
      <w:r w:rsidRPr="00BA0596">
        <w:rPr>
          <w:sz w:val="22"/>
          <w:szCs w:val="22"/>
        </w:rPr>
        <w:t xml:space="preserve"> pour financer</w:t>
      </w:r>
      <w:r w:rsidRPr="00BA0596">
        <w:rPr>
          <w:i/>
          <w:iCs/>
          <w:sz w:val="22"/>
          <w:szCs w:val="22"/>
        </w:rPr>
        <w:t xml:space="preserve"> </w:t>
      </w:r>
      <w:r w:rsidRPr="00BA0596">
        <w:rPr>
          <w:iCs/>
          <w:sz w:val="22"/>
          <w:szCs w:val="22"/>
        </w:rPr>
        <w:t>le Projet</w:t>
      </w:r>
      <w:r w:rsidRPr="00BA0596">
        <w:rPr>
          <w:sz w:val="22"/>
          <w:szCs w:val="22"/>
          <w:shd w:val="clear" w:color="auto" w:fill="FFFFFF"/>
        </w:rPr>
        <w:t xml:space="preserve"> de développement des compétences pour l’emploi</w:t>
      </w:r>
      <w:r w:rsidRPr="00BA0596">
        <w:rPr>
          <w:i/>
          <w:iCs/>
          <w:sz w:val="22"/>
          <w:szCs w:val="22"/>
        </w:rPr>
        <w:t xml:space="preserve"> (SKILLS),</w:t>
      </w:r>
      <w:r w:rsidRPr="00BA0596">
        <w:rPr>
          <w:sz w:val="22"/>
          <w:szCs w:val="22"/>
        </w:rPr>
        <w:t xml:space="preserve"> et a l’intention d’utiliser une partie de ce </w:t>
      </w:r>
      <w:r w:rsidRPr="00BA0596">
        <w:rPr>
          <w:iCs/>
          <w:sz w:val="22"/>
          <w:szCs w:val="22"/>
        </w:rPr>
        <w:t>don</w:t>
      </w:r>
      <w:r w:rsidRPr="00BA0596">
        <w:rPr>
          <w:sz w:val="22"/>
          <w:szCs w:val="22"/>
        </w:rPr>
        <w:t xml:space="preserve"> pour effectuer des paiements au titre du Marché </w:t>
      </w:r>
      <w:r w:rsidRPr="00BA0596">
        <w:rPr>
          <w:iCs/>
          <w:color w:val="000000" w:themeColor="text1"/>
          <w:sz w:val="22"/>
          <w:szCs w:val="22"/>
        </w:rPr>
        <w:t>de</w:t>
      </w:r>
      <w:r w:rsidRPr="00BA0596">
        <w:rPr>
          <w:bCs/>
          <w:color w:val="000000" w:themeColor="text1"/>
          <w:spacing w:val="-4"/>
          <w:sz w:val="22"/>
          <w:szCs w:val="22"/>
          <w:shd w:val="clear" w:color="auto" w:fill="FFFFFF"/>
        </w:rPr>
        <w:t xml:space="preserve"> travaux</w:t>
      </w:r>
      <w:r w:rsidRPr="00BA0596">
        <w:rPr>
          <w:bCs/>
          <w:i/>
          <w:color w:val="000000" w:themeColor="text1"/>
          <w:spacing w:val="-4"/>
          <w:sz w:val="22"/>
          <w:szCs w:val="22"/>
          <w:shd w:val="clear" w:color="auto" w:fill="FFFFFF"/>
        </w:rPr>
        <w:t xml:space="preserve"> </w:t>
      </w:r>
      <w:r w:rsidRPr="00BA0596">
        <w:rPr>
          <w:sz w:val="22"/>
          <w:szCs w:val="22"/>
        </w:rPr>
        <w:t xml:space="preserve">de construction d’un </w:t>
      </w:r>
      <w:r w:rsidR="00602B84" w:rsidRPr="00BA0596">
        <w:rPr>
          <w:sz w:val="22"/>
          <w:szCs w:val="22"/>
        </w:rPr>
        <w:t>complexe de centre sectoriels de la formation professionnelle, composé de 3 pôles</w:t>
      </w:r>
      <w:r w:rsidRPr="00BA0596">
        <w:rPr>
          <w:i/>
          <w:iCs/>
          <w:spacing w:val="-3"/>
          <w:sz w:val="22"/>
          <w:szCs w:val="22"/>
        </w:rPr>
        <w:t xml:space="preserve">. </w:t>
      </w:r>
    </w:p>
    <w:p w:rsidR="00CB5982" w:rsidRPr="00265458" w:rsidRDefault="00CB5982" w:rsidP="00CB5982">
      <w:pPr>
        <w:numPr>
          <w:ilvl w:val="2"/>
          <w:numId w:val="1"/>
        </w:numPr>
        <w:tabs>
          <w:tab w:val="left" w:pos="-720"/>
          <w:tab w:val="left" w:pos="0"/>
        </w:tabs>
        <w:spacing w:before="120" w:after="120"/>
        <w:ind w:left="720" w:hanging="630"/>
        <w:rPr>
          <w:spacing w:val="-3"/>
          <w:sz w:val="22"/>
          <w:szCs w:val="22"/>
        </w:rPr>
      </w:pPr>
      <w:r w:rsidRPr="00BA0596">
        <w:rPr>
          <w:sz w:val="22"/>
          <w:szCs w:val="22"/>
        </w:rPr>
        <w:t>La</w:t>
      </w:r>
      <w:r w:rsidRPr="00BA0596">
        <w:rPr>
          <w:i/>
          <w:sz w:val="22"/>
          <w:szCs w:val="22"/>
        </w:rPr>
        <w:t xml:space="preserve"> </w:t>
      </w:r>
      <w:r w:rsidRPr="00BA0596">
        <w:rPr>
          <w:sz w:val="22"/>
          <w:szCs w:val="22"/>
        </w:rPr>
        <w:t>Direction des Projets, de la Maintenance et des Equipements (DPME)</w:t>
      </w:r>
      <w:r w:rsidRPr="00BA0596">
        <w:rPr>
          <w:i/>
          <w:sz w:val="22"/>
          <w:szCs w:val="22"/>
        </w:rPr>
        <w:t xml:space="preserve"> </w:t>
      </w:r>
      <w:r w:rsidRPr="00BA0596">
        <w:rPr>
          <w:sz w:val="22"/>
          <w:szCs w:val="22"/>
        </w:rPr>
        <w:t>sollicite</w:t>
      </w:r>
      <w:r w:rsidRPr="00BA0596">
        <w:rPr>
          <w:spacing w:val="-3"/>
          <w:sz w:val="22"/>
          <w:szCs w:val="22"/>
        </w:rPr>
        <w:t>, par la présente, les Soumissionnaires  éligibles à présenter leurs Offres sous pli fermé, pour la réalisation de</w:t>
      </w:r>
      <w:r>
        <w:rPr>
          <w:spacing w:val="-3"/>
          <w:sz w:val="22"/>
          <w:szCs w:val="22"/>
        </w:rPr>
        <w:t>s</w:t>
      </w:r>
      <w:r w:rsidRPr="00BA0596">
        <w:rPr>
          <w:spacing w:val="-3"/>
          <w:sz w:val="22"/>
          <w:szCs w:val="22"/>
        </w:rPr>
        <w:t xml:space="preserve"> </w:t>
      </w:r>
      <w:r w:rsidRPr="00A41D4C">
        <w:rPr>
          <w:b/>
          <w:sz w:val="22"/>
          <w:szCs w:val="22"/>
        </w:rPr>
        <w:t xml:space="preserve">Travaux de construction d’un centre </w:t>
      </w:r>
      <w:r>
        <w:rPr>
          <w:b/>
          <w:sz w:val="22"/>
          <w:szCs w:val="22"/>
        </w:rPr>
        <w:t>multi</w:t>
      </w:r>
      <w:r w:rsidRPr="00A41D4C">
        <w:rPr>
          <w:b/>
          <w:sz w:val="22"/>
          <w:szCs w:val="22"/>
        </w:rPr>
        <w:t>sectoriel de formation professionnelle</w:t>
      </w:r>
      <w:r w:rsidRPr="00A41D4C">
        <w:rPr>
          <w:b/>
          <w:spacing w:val="-3"/>
          <w:sz w:val="22"/>
          <w:szCs w:val="22"/>
        </w:rPr>
        <w:t xml:space="preserve">. </w:t>
      </w:r>
      <w:r w:rsidRPr="00BA0596">
        <w:rPr>
          <w:sz w:val="22"/>
          <w:szCs w:val="22"/>
        </w:rPr>
        <w:t xml:space="preserve">Les travaux composés </w:t>
      </w:r>
      <w:r>
        <w:rPr>
          <w:sz w:val="22"/>
          <w:szCs w:val="22"/>
        </w:rPr>
        <w:t>d’un</w:t>
      </w:r>
      <w:r w:rsidRPr="00BA0596">
        <w:rPr>
          <w:sz w:val="22"/>
          <w:szCs w:val="22"/>
        </w:rPr>
        <w:t xml:space="preserve"> (0</w:t>
      </w:r>
      <w:r>
        <w:rPr>
          <w:sz w:val="22"/>
          <w:szCs w:val="22"/>
        </w:rPr>
        <w:t>1) lot</w:t>
      </w:r>
      <w:r w:rsidR="003F4CE7">
        <w:rPr>
          <w:sz w:val="22"/>
          <w:szCs w:val="22"/>
        </w:rPr>
        <w:t xml:space="preserve"> unique</w:t>
      </w:r>
      <w:r>
        <w:rPr>
          <w:sz w:val="22"/>
          <w:szCs w:val="22"/>
        </w:rPr>
        <w:t xml:space="preserve">, comprenant </w:t>
      </w:r>
      <w:r w:rsidRPr="00BA0596">
        <w:rPr>
          <w:sz w:val="22"/>
          <w:szCs w:val="22"/>
        </w:rPr>
        <w:t xml:space="preserve"> essentiellement :</w:t>
      </w:r>
    </w:p>
    <w:p w:rsidR="00CB5982" w:rsidRPr="005F6209" w:rsidRDefault="00CB5982" w:rsidP="00CB5982">
      <w:pPr>
        <w:pStyle w:val="Paragraphedeliste"/>
        <w:ind w:left="720" w:firstLine="0"/>
        <w:rPr>
          <w:sz w:val="22"/>
          <w:szCs w:val="22"/>
          <w:lang w:val="fr-FR"/>
        </w:rPr>
      </w:pPr>
      <w:r w:rsidRPr="00BA0596">
        <w:rPr>
          <w:b/>
          <w:sz w:val="22"/>
          <w:szCs w:val="22"/>
        </w:rPr>
        <w:sym w:font="Wingdings" w:char="F09F"/>
      </w:r>
      <w:r w:rsidRPr="005F6209">
        <w:rPr>
          <w:sz w:val="22"/>
          <w:szCs w:val="22"/>
          <w:lang w:val="fr-FR"/>
        </w:rPr>
        <w:t xml:space="preserve"> Travaux de construction d’un centre sectoriel de formation professionnelle aux métiers des énergies renouvelables (CSFOP-Energies renouvelables);</w:t>
      </w:r>
    </w:p>
    <w:p w:rsidR="00CB5982" w:rsidRPr="00C72C7F" w:rsidRDefault="00CB5982" w:rsidP="00CB5982">
      <w:pPr>
        <w:pStyle w:val="Liste"/>
        <w:numPr>
          <w:ilvl w:val="0"/>
          <w:numId w:val="4"/>
        </w:numPr>
        <w:spacing w:before="0" w:after="0"/>
        <w:rPr>
          <w:sz w:val="18"/>
          <w:szCs w:val="18"/>
        </w:rPr>
      </w:pPr>
      <w:r>
        <w:rPr>
          <w:sz w:val="18"/>
          <w:szCs w:val="18"/>
        </w:rPr>
        <w:t>E</w:t>
      </w:r>
      <w:r w:rsidRPr="00C72C7F">
        <w:rPr>
          <w:sz w:val="18"/>
          <w:szCs w:val="18"/>
        </w:rPr>
        <w:t>tanchéité</w:t>
      </w:r>
    </w:p>
    <w:p w:rsidR="00CB5982" w:rsidRPr="005F6209" w:rsidRDefault="00CB5982" w:rsidP="00CB5982">
      <w:pPr>
        <w:pStyle w:val="Liste"/>
        <w:numPr>
          <w:ilvl w:val="0"/>
          <w:numId w:val="4"/>
        </w:numPr>
        <w:spacing w:before="0" w:after="0"/>
        <w:rPr>
          <w:sz w:val="18"/>
          <w:szCs w:val="18"/>
          <w:lang w:val="fr-FR"/>
        </w:rPr>
      </w:pPr>
      <w:r w:rsidRPr="005F6209">
        <w:rPr>
          <w:sz w:val="18"/>
          <w:szCs w:val="18"/>
          <w:lang w:val="fr-FR"/>
        </w:rPr>
        <w:t xml:space="preserve">Menuiseries </w:t>
      </w:r>
      <w:proofErr w:type="spellStart"/>
      <w:r w:rsidRPr="005F6209">
        <w:rPr>
          <w:sz w:val="18"/>
          <w:szCs w:val="18"/>
          <w:lang w:val="fr-FR"/>
        </w:rPr>
        <w:t>exterieures</w:t>
      </w:r>
      <w:proofErr w:type="spellEnd"/>
      <w:r w:rsidRPr="005F6209">
        <w:rPr>
          <w:sz w:val="18"/>
          <w:szCs w:val="18"/>
          <w:lang w:val="fr-FR"/>
        </w:rPr>
        <w:t xml:space="preserve"> </w:t>
      </w:r>
      <w:proofErr w:type="spellStart"/>
      <w:r w:rsidRPr="005F6209">
        <w:rPr>
          <w:sz w:val="18"/>
          <w:szCs w:val="18"/>
          <w:lang w:val="fr-FR"/>
        </w:rPr>
        <w:t>metallerie</w:t>
      </w:r>
      <w:proofErr w:type="spellEnd"/>
      <w:r w:rsidRPr="005F6209">
        <w:rPr>
          <w:sz w:val="18"/>
          <w:szCs w:val="18"/>
          <w:lang w:val="fr-FR"/>
        </w:rPr>
        <w:t xml:space="preserve"> et table des </w:t>
      </w:r>
      <w:proofErr w:type="spellStart"/>
      <w:r w:rsidRPr="005F6209">
        <w:rPr>
          <w:sz w:val="18"/>
          <w:szCs w:val="18"/>
          <w:lang w:val="fr-FR"/>
        </w:rPr>
        <w:t>chassis</w:t>
      </w:r>
      <w:proofErr w:type="spellEnd"/>
    </w:p>
    <w:p w:rsidR="00CB5982" w:rsidRPr="005F6209" w:rsidRDefault="00CB5982" w:rsidP="00CB5982">
      <w:pPr>
        <w:pStyle w:val="Liste"/>
        <w:numPr>
          <w:ilvl w:val="0"/>
          <w:numId w:val="4"/>
        </w:numPr>
        <w:spacing w:before="0" w:after="0"/>
        <w:rPr>
          <w:sz w:val="18"/>
          <w:szCs w:val="18"/>
          <w:lang w:val="fr-FR"/>
        </w:rPr>
      </w:pPr>
      <w:r w:rsidRPr="005F6209">
        <w:rPr>
          <w:sz w:val="18"/>
          <w:szCs w:val="18"/>
          <w:lang w:val="fr-FR"/>
        </w:rPr>
        <w:t xml:space="preserve">Menuiserie </w:t>
      </w:r>
      <w:proofErr w:type="spellStart"/>
      <w:r w:rsidRPr="005F6209">
        <w:rPr>
          <w:sz w:val="18"/>
          <w:szCs w:val="18"/>
          <w:lang w:val="fr-FR"/>
        </w:rPr>
        <w:t>interieures</w:t>
      </w:r>
      <w:proofErr w:type="spellEnd"/>
      <w:r w:rsidRPr="005F6209">
        <w:rPr>
          <w:sz w:val="18"/>
          <w:szCs w:val="18"/>
          <w:lang w:val="fr-FR"/>
        </w:rPr>
        <w:t xml:space="preserve"> et table des portes</w:t>
      </w:r>
    </w:p>
    <w:p w:rsidR="00CB5982" w:rsidRPr="00C72C7F" w:rsidRDefault="00CB5982" w:rsidP="00CB5982">
      <w:pPr>
        <w:pStyle w:val="Liste"/>
        <w:numPr>
          <w:ilvl w:val="0"/>
          <w:numId w:val="4"/>
        </w:numPr>
        <w:spacing w:before="0" w:after="0"/>
        <w:rPr>
          <w:sz w:val="18"/>
          <w:szCs w:val="18"/>
        </w:rPr>
      </w:pPr>
      <w:proofErr w:type="spellStart"/>
      <w:r w:rsidRPr="00C72C7F">
        <w:rPr>
          <w:sz w:val="18"/>
          <w:szCs w:val="18"/>
        </w:rPr>
        <w:t>Cloisons</w:t>
      </w:r>
      <w:proofErr w:type="spellEnd"/>
      <w:r w:rsidRPr="00C72C7F">
        <w:rPr>
          <w:sz w:val="18"/>
          <w:szCs w:val="18"/>
        </w:rPr>
        <w:t xml:space="preserve">, isolation et plafonds </w:t>
      </w:r>
      <w:proofErr w:type="spellStart"/>
      <w:r w:rsidRPr="00C72C7F">
        <w:rPr>
          <w:sz w:val="18"/>
          <w:szCs w:val="18"/>
        </w:rPr>
        <w:t>plâtre</w:t>
      </w:r>
      <w:proofErr w:type="spellEnd"/>
    </w:p>
    <w:p w:rsidR="00CB5982" w:rsidRPr="005F6209" w:rsidRDefault="00CB5982" w:rsidP="00CB5982">
      <w:pPr>
        <w:pStyle w:val="Liste"/>
        <w:numPr>
          <w:ilvl w:val="0"/>
          <w:numId w:val="4"/>
        </w:numPr>
        <w:spacing w:before="0" w:after="0"/>
        <w:rPr>
          <w:b/>
          <w:sz w:val="18"/>
          <w:szCs w:val="18"/>
          <w:lang w:val="fr-FR"/>
        </w:rPr>
      </w:pPr>
      <w:r w:rsidRPr="005F6209">
        <w:rPr>
          <w:sz w:val="18"/>
          <w:szCs w:val="18"/>
          <w:lang w:val="fr-FR"/>
        </w:rPr>
        <w:t>Revêtements carrelages de sols et murs</w:t>
      </w:r>
    </w:p>
    <w:p w:rsidR="00CB5982" w:rsidRPr="00C72C7F" w:rsidRDefault="00CB5982" w:rsidP="00CB5982">
      <w:pPr>
        <w:pStyle w:val="Liste"/>
        <w:numPr>
          <w:ilvl w:val="0"/>
          <w:numId w:val="4"/>
        </w:numPr>
        <w:spacing w:before="0" w:after="0"/>
        <w:rPr>
          <w:b/>
          <w:sz w:val="18"/>
          <w:szCs w:val="18"/>
        </w:rPr>
      </w:pPr>
      <w:proofErr w:type="spellStart"/>
      <w:r w:rsidRPr="00C72C7F">
        <w:rPr>
          <w:sz w:val="18"/>
          <w:szCs w:val="18"/>
        </w:rPr>
        <w:t>Peintures</w:t>
      </w:r>
      <w:proofErr w:type="spellEnd"/>
    </w:p>
    <w:p w:rsidR="00CB5982" w:rsidRPr="00C72C7F" w:rsidRDefault="00CB5982" w:rsidP="00CB5982">
      <w:pPr>
        <w:pStyle w:val="Liste"/>
        <w:numPr>
          <w:ilvl w:val="0"/>
          <w:numId w:val="4"/>
        </w:numPr>
        <w:spacing w:before="0" w:after="0"/>
        <w:rPr>
          <w:b/>
          <w:sz w:val="18"/>
          <w:szCs w:val="18"/>
        </w:rPr>
      </w:pPr>
      <w:r w:rsidRPr="00C72C7F">
        <w:rPr>
          <w:sz w:val="18"/>
          <w:szCs w:val="18"/>
        </w:rPr>
        <w:t>VRD</w:t>
      </w:r>
    </w:p>
    <w:p w:rsidR="00CB5982" w:rsidRPr="005F6209" w:rsidRDefault="00CB5982" w:rsidP="00CB5982">
      <w:pPr>
        <w:pStyle w:val="Liste"/>
        <w:numPr>
          <w:ilvl w:val="0"/>
          <w:numId w:val="4"/>
        </w:numPr>
        <w:spacing w:before="0" w:after="0"/>
        <w:rPr>
          <w:b/>
          <w:sz w:val="18"/>
          <w:szCs w:val="18"/>
          <w:lang w:val="fr-FR"/>
        </w:rPr>
      </w:pPr>
      <w:r w:rsidRPr="005F6209">
        <w:rPr>
          <w:sz w:val="18"/>
          <w:szCs w:val="18"/>
          <w:lang w:val="fr-FR"/>
        </w:rPr>
        <w:t>Structure</w:t>
      </w:r>
      <w:r w:rsidRPr="005F6209">
        <w:rPr>
          <w:b/>
          <w:sz w:val="18"/>
          <w:szCs w:val="18"/>
          <w:lang w:val="fr-FR"/>
        </w:rPr>
        <w:t xml:space="preserve"> (</w:t>
      </w:r>
      <w:r w:rsidRPr="005F6209">
        <w:rPr>
          <w:sz w:val="18"/>
          <w:szCs w:val="18"/>
          <w:lang w:val="fr-FR"/>
        </w:rPr>
        <w:t>Comprend : hypothèses de calcul, notes, descriptif)</w:t>
      </w:r>
    </w:p>
    <w:p w:rsidR="00CB5982" w:rsidRPr="005F6209" w:rsidRDefault="00CB5982" w:rsidP="00CB5982">
      <w:pPr>
        <w:pStyle w:val="Paragraphedeliste"/>
        <w:numPr>
          <w:ilvl w:val="0"/>
          <w:numId w:val="4"/>
        </w:numPr>
        <w:spacing w:before="0" w:after="0"/>
        <w:rPr>
          <w:sz w:val="18"/>
          <w:szCs w:val="18"/>
          <w:lang w:val="fr-FR"/>
        </w:rPr>
      </w:pPr>
      <w:r w:rsidRPr="005F6209">
        <w:rPr>
          <w:sz w:val="18"/>
          <w:szCs w:val="18"/>
          <w:lang w:val="fr-FR"/>
        </w:rPr>
        <w:t>Electricité (Conception des installations, pré-dimensionnements, notes de calcul)</w:t>
      </w:r>
    </w:p>
    <w:p w:rsidR="00CB5982" w:rsidRPr="005F6209" w:rsidRDefault="00CB5982" w:rsidP="00CB5982">
      <w:pPr>
        <w:pStyle w:val="Paragraphedeliste"/>
        <w:numPr>
          <w:ilvl w:val="0"/>
          <w:numId w:val="4"/>
        </w:numPr>
        <w:spacing w:before="0" w:after="0"/>
        <w:rPr>
          <w:sz w:val="18"/>
          <w:szCs w:val="18"/>
          <w:lang w:val="fr-FR"/>
        </w:rPr>
      </w:pPr>
      <w:r w:rsidRPr="005F6209">
        <w:rPr>
          <w:sz w:val="18"/>
          <w:szCs w:val="18"/>
          <w:lang w:val="fr-FR"/>
        </w:rPr>
        <w:t>Ventilation Plomberie Climatisation (Conception des installations, pré-dimensionnements, notes de calcul, sché Conception des réseaux (conformité réglementaire).</w:t>
      </w:r>
    </w:p>
    <w:p w:rsidR="00CB5982" w:rsidRPr="005F6209" w:rsidRDefault="00CB5982" w:rsidP="00CB5982">
      <w:pPr>
        <w:pStyle w:val="Liste"/>
        <w:spacing w:before="0" w:after="0"/>
        <w:ind w:left="2304" w:firstLine="0"/>
        <w:rPr>
          <w:b/>
          <w:sz w:val="22"/>
          <w:szCs w:val="22"/>
          <w:lang w:val="fr-FR"/>
        </w:rPr>
      </w:pPr>
    </w:p>
    <w:p w:rsidR="00CB5982" w:rsidRPr="00BA0596" w:rsidRDefault="00CB5982" w:rsidP="00CB5982">
      <w:pPr>
        <w:pStyle w:val="Titre"/>
        <w:spacing w:after="0"/>
        <w:jc w:val="both"/>
        <w:rPr>
          <w:b w:val="0"/>
          <w:sz w:val="22"/>
          <w:szCs w:val="22"/>
          <w:u w:val="single"/>
          <w:lang w:val="fr-FR"/>
        </w:rPr>
      </w:pPr>
      <w:r w:rsidRPr="00BA0596">
        <w:rPr>
          <w:spacing w:val="-3"/>
          <w:sz w:val="22"/>
          <w:szCs w:val="22"/>
        </w:rPr>
        <w:t xml:space="preserve"> </w:t>
      </w:r>
      <w:r w:rsidRPr="00BA0596">
        <w:rPr>
          <w:sz w:val="22"/>
          <w:szCs w:val="22"/>
          <w:u w:val="single"/>
          <w:lang w:val="fr-FR"/>
        </w:rPr>
        <w:t xml:space="preserve">Délai d’exécution </w:t>
      </w:r>
      <w:r w:rsidRPr="00BA0596">
        <w:rPr>
          <w:b w:val="0"/>
          <w:sz w:val="22"/>
          <w:szCs w:val="22"/>
          <w:u w:val="single"/>
          <w:lang w:val="fr-FR"/>
        </w:rPr>
        <w:t>: 1</w:t>
      </w:r>
      <w:r>
        <w:rPr>
          <w:b w:val="0"/>
          <w:sz w:val="22"/>
          <w:szCs w:val="22"/>
          <w:u w:val="single"/>
          <w:lang w:val="fr-FR"/>
        </w:rPr>
        <w:t>5</w:t>
      </w:r>
      <w:r w:rsidRPr="00BA0596">
        <w:rPr>
          <w:b w:val="0"/>
          <w:sz w:val="22"/>
          <w:szCs w:val="22"/>
          <w:u w:val="single"/>
          <w:lang w:val="fr-FR"/>
        </w:rPr>
        <w:t xml:space="preserve"> mois</w:t>
      </w:r>
    </w:p>
    <w:p w:rsidR="00CB5982" w:rsidRPr="00BA0596" w:rsidRDefault="00CB5982" w:rsidP="00CB5982">
      <w:pPr>
        <w:tabs>
          <w:tab w:val="left" w:pos="-720"/>
          <w:tab w:val="left" w:pos="0"/>
        </w:tabs>
        <w:spacing w:before="120" w:after="120"/>
        <w:ind w:left="720" w:firstLine="0"/>
        <w:rPr>
          <w:spacing w:val="-3"/>
          <w:sz w:val="22"/>
          <w:szCs w:val="22"/>
        </w:rPr>
      </w:pPr>
    </w:p>
    <w:p w:rsidR="00CB5982" w:rsidRPr="00BA0596" w:rsidRDefault="00CB5982" w:rsidP="00CB5982">
      <w:pPr>
        <w:numPr>
          <w:ilvl w:val="2"/>
          <w:numId w:val="1"/>
        </w:numPr>
        <w:spacing w:before="120" w:after="120"/>
        <w:ind w:left="720" w:hanging="630"/>
        <w:rPr>
          <w:sz w:val="22"/>
          <w:szCs w:val="22"/>
        </w:rPr>
      </w:pPr>
      <w:r w:rsidRPr="00BA0596">
        <w:rPr>
          <w:sz w:val="22"/>
          <w:szCs w:val="22"/>
        </w:rPr>
        <w:lastRenderedPageBreak/>
        <w:t>La procédure sera conduite par mise en concurrence internationale en utilisant un Appel d’Offres international (AOI) tel que défini dans le « Règlement de Passation de Marchés de la Banque mondiale pour les Emprunteur de FPI » (</w:t>
      </w:r>
      <w:r w:rsidRPr="00BA0596">
        <w:rPr>
          <w:rStyle w:val="lev"/>
          <w:sz w:val="22"/>
          <w:szCs w:val="22"/>
        </w:rPr>
        <w:t xml:space="preserve">Septembre 2025 </w:t>
      </w:r>
      <w:r w:rsidRPr="00BA0596">
        <w:rPr>
          <w:sz w:val="22"/>
          <w:szCs w:val="22"/>
        </w:rPr>
        <w:t>de la Banque Mondiale,</w:t>
      </w:r>
      <w:r w:rsidRPr="00BA0596">
        <w:rPr>
          <w:i/>
          <w:iCs/>
          <w:sz w:val="22"/>
          <w:szCs w:val="22"/>
        </w:rPr>
        <w:t xml:space="preserve"> (« </w:t>
      </w:r>
      <w:r w:rsidRPr="00BA0596">
        <w:rPr>
          <w:sz w:val="22"/>
          <w:szCs w:val="22"/>
        </w:rPr>
        <w:t>le Règlement de Passation de Marchés</w:t>
      </w:r>
      <w:r w:rsidRPr="00BA0596">
        <w:rPr>
          <w:i/>
          <w:iCs/>
          <w:sz w:val="22"/>
          <w:szCs w:val="22"/>
        </w:rPr>
        <w:t xml:space="preserve"> »),</w:t>
      </w:r>
      <w:r w:rsidRPr="00BA0596">
        <w:rPr>
          <w:sz w:val="22"/>
          <w:szCs w:val="22"/>
        </w:rPr>
        <w:t xml:space="preserve"> et ouvert à tous les Soumissionnaires éligibles tels que définis dans le Règlement de Passation de Marchés.</w:t>
      </w:r>
    </w:p>
    <w:p w:rsidR="00CB5982" w:rsidRPr="00BA0596" w:rsidRDefault="00CB5982" w:rsidP="00CB5982">
      <w:pPr>
        <w:numPr>
          <w:ilvl w:val="2"/>
          <w:numId w:val="1"/>
        </w:numPr>
        <w:tabs>
          <w:tab w:val="left" w:pos="-720"/>
          <w:tab w:val="left" w:pos="0"/>
        </w:tabs>
        <w:spacing w:before="120" w:after="120"/>
        <w:ind w:left="720" w:hanging="630"/>
        <w:rPr>
          <w:i/>
          <w:spacing w:val="-3"/>
          <w:sz w:val="22"/>
          <w:szCs w:val="22"/>
        </w:rPr>
      </w:pPr>
      <w:r w:rsidRPr="00BA0596">
        <w:rPr>
          <w:spacing w:val="-3"/>
          <w:sz w:val="22"/>
          <w:szCs w:val="22"/>
        </w:rPr>
        <w:t xml:space="preserve">Les Offres seront évaluées conformément au processus d'évaluation défini dans le dossier d'appel d'offres. Les pondérations suivantes s'appliqueront aux Critères notés (y compris les facteurs techniques et autres que le prix) : </w:t>
      </w:r>
      <w:r w:rsidRPr="00BA0596">
        <w:rPr>
          <w:b/>
          <w:bCs/>
          <w:spacing w:val="-3"/>
          <w:sz w:val="22"/>
          <w:szCs w:val="22"/>
        </w:rPr>
        <w:t>40%</w:t>
      </w:r>
      <w:r w:rsidRPr="00BA0596">
        <w:rPr>
          <w:i/>
          <w:iCs/>
          <w:spacing w:val="-3"/>
          <w:sz w:val="22"/>
          <w:szCs w:val="22"/>
        </w:rPr>
        <w:t xml:space="preserve"> </w:t>
      </w:r>
      <w:r w:rsidRPr="00BA0596">
        <w:rPr>
          <w:spacing w:val="-3"/>
          <w:sz w:val="22"/>
          <w:szCs w:val="22"/>
        </w:rPr>
        <w:t>et pour le coût de l'Offre :</w:t>
      </w:r>
      <w:r w:rsidRPr="00BA0596">
        <w:rPr>
          <w:b/>
          <w:bCs/>
          <w:spacing w:val="-3"/>
          <w:sz w:val="22"/>
          <w:szCs w:val="22"/>
        </w:rPr>
        <w:t xml:space="preserve"> 60 %</w:t>
      </w:r>
      <w:r w:rsidRPr="00BA0596">
        <w:rPr>
          <w:i/>
          <w:iCs/>
          <w:spacing w:val="-3"/>
          <w:sz w:val="22"/>
          <w:szCs w:val="22"/>
        </w:rPr>
        <w:t xml:space="preserve">. </w:t>
      </w:r>
    </w:p>
    <w:p w:rsidR="00CB5982" w:rsidRPr="00BA0596" w:rsidRDefault="00CB5982" w:rsidP="00CB5982">
      <w:pPr>
        <w:numPr>
          <w:ilvl w:val="2"/>
          <w:numId w:val="1"/>
        </w:numPr>
        <w:tabs>
          <w:tab w:val="left" w:pos="-720"/>
          <w:tab w:val="left" w:pos="0"/>
        </w:tabs>
        <w:spacing w:before="120" w:after="120"/>
        <w:ind w:left="720" w:hanging="630"/>
        <w:rPr>
          <w:i/>
          <w:spacing w:val="-3"/>
          <w:sz w:val="22"/>
          <w:szCs w:val="22"/>
        </w:rPr>
      </w:pPr>
      <w:r w:rsidRPr="00BA0596">
        <w:rPr>
          <w:spacing w:val="-3"/>
          <w:sz w:val="22"/>
          <w:szCs w:val="22"/>
        </w:rPr>
        <w:t xml:space="preserve">Les Soumissionnaires éligibles peuvent obtenir des informations supplémentaires auprès de </w:t>
      </w:r>
      <w:r w:rsidRPr="00BA0596">
        <w:rPr>
          <w:iCs/>
          <w:color w:val="333399"/>
          <w:sz w:val="22"/>
          <w:szCs w:val="22"/>
        </w:rPr>
        <w:t>la Direction des Projets, de la Maintenance et des Équipements (DPME)</w:t>
      </w:r>
      <w:r w:rsidRPr="00BA0596">
        <w:rPr>
          <w:color w:val="333399"/>
          <w:sz w:val="22"/>
          <w:szCs w:val="22"/>
        </w:rPr>
        <w:t xml:space="preserve">, géré par M. </w:t>
      </w:r>
      <w:proofErr w:type="spellStart"/>
      <w:r w:rsidRPr="00BA0596">
        <w:rPr>
          <w:color w:val="333399"/>
          <w:sz w:val="22"/>
          <w:szCs w:val="22"/>
        </w:rPr>
        <w:t>Abdirahman</w:t>
      </w:r>
      <w:proofErr w:type="spellEnd"/>
      <w:r w:rsidRPr="00BA0596">
        <w:rPr>
          <w:color w:val="333399"/>
          <w:sz w:val="22"/>
          <w:szCs w:val="22"/>
        </w:rPr>
        <w:t xml:space="preserve"> Mahmoud Saleh, situé au Boulevard de la République, Téléphone : +253 21 35 14 20, Télécopie : +253 21 25 04 30, adresse électronique , </w:t>
      </w:r>
      <w:hyperlink r:id="rId7" w:history="1">
        <w:r w:rsidRPr="00BA0596">
          <w:rPr>
            <w:rStyle w:val="Lienhypertexte"/>
            <w:b/>
            <w:color w:val="333399"/>
            <w:sz w:val="22"/>
            <w:szCs w:val="22"/>
          </w:rPr>
          <w:t>menfoprojets@gmail.com</w:t>
        </w:r>
      </w:hyperlink>
      <w:r w:rsidRPr="00BA0596">
        <w:rPr>
          <w:rStyle w:val="Lienhypertexte"/>
          <w:b/>
          <w:color w:val="333399"/>
          <w:sz w:val="22"/>
          <w:szCs w:val="22"/>
        </w:rPr>
        <w:t xml:space="preserve">ou </w:t>
      </w:r>
      <w:hyperlink r:id="rId8" w:history="1">
        <w:r w:rsidRPr="00BA0596">
          <w:rPr>
            <w:rStyle w:val="Lienhypertexte"/>
            <w:b/>
            <w:color w:val="333399"/>
            <w:sz w:val="22"/>
            <w:szCs w:val="22"/>
          </w:rPr>
          <w:t>msalehnio@gmail.com</w:t>
        </w:r>
      </w:hyperlink>
      <w:r w:rsidRPr="00BA0596">
        <w:rPr>
          <w:rStyle w:val="Lienhypertexte"/>
          <w:color w:val="333399"/>
          <w:sz w:val="22"/>
          <w:szCs w:val="22"/>
        </w:rPr>
        <w:t>,</w:t>
      </w:r>
      <w:r w:rsidRPr="00BA0596">
        <w:rPr>
          <w:color w:val="333399"/>
          <w:sz w:val="22"/>
          <w:szCs w:val="22"/>
        </w:rPr>
        <w:t>Boite Postale n° 2043, Djibouti, République de Djibouti</w:t>
      </w:r>
      <w:r w:rsidRPr="00BA0596">
        <w:rPr>
          <w:color w:val="0000FF"/>
          <w:sz w:val="22"/>
          <w:szCs w:val="22"/>
        </w:rPr>
        <w:t xml:space="preserve">, </w:t>
      </w:r>
      <w:r w:rsidRPr="00BA0596">
        <w:rPr>
          <w:b/>
          <w:spacing w:val="-2"/>
          <w:sz w:val="22"/>
          <w:szCs w:val="22"/>
        </w:rPr>
        <w:t>pendant les heures de bureau de 8h00 à 17h00du dimanche à jeudi</w:t>
      </w:r>
      <w:r w:rsidRPr="00BA0596">
        <w:rPr>
          <w:b/>
          <w:i/>
          <w:spacing w:val="-2"/>
          <w:sz w:val="22"/>
          <w:szCs w:val="22"/>
        </w:rPr>
        <w:t>.</w:t>
      </w:r>
    </w:p>
    <w:p w:rsidR="00CB5982" w:rsidRPr="005E02B7" w:rsidRDefault="00CB5982" w:rsidP="00CB5982">
      <w:pPr>
        <w:numPr>
          <w:ilvl w:val="2"/>
          <w:numId w:val="1"/>
        </w:numPr>
        <w:tabs>
          <w:tab w:val="left" w:pos="-720"/>
          <w:tab w:val="left" w:pos="0"/>
        </w:tabs>
        <w:spacing w:before="120" w:after="120"/>
        <w:ind w:left="720" w:hanging="630"/>
        <w:rPr>
          <w:i/>
          <w:spacing w:val="-3"/>
          <w:sz w:val="22"/>
          <w:szCs w:val="22"/>
        </w:rPr>
      </w:pPr>
      <w:r w:rsidRPr="00BA0596">
        <w:rPr>
          <w:sz w:val="22"/>
          <w:szCs w:val="22"/>
        </w:rPr>
        <w:t xml:space="preserve">Le Dossier d’Appel d’offres en </w:t>
      </w:r>
      <w:r w:rsidRPr="00BA0596">
        <w:rPr>
          <w:iCs/>
          <w:sz w:val="22"/>
          <w:szCs w:val="22"/>
        </w:rPr>
        <w:t>français</w:t>
      </w:r>
      <w:r w:rsidRPr="00BA0596">
        <w:rPr>
          <w:sz w:val="22"/>
          <w:szCs w:val="22"/>
        </w:rPr>
        <w:t xml:space="preserve"> peut être acheté par tout Soumissionnaire éligible intéressé en formulant une demande écrite à l’adresse ci-dessous contre un paiement non remboursable de </w:t>
      </w:r>
      <w:r w:rsidRPr="00BA0596">
        <w:rPr>
          <w:b/>
          <w:sz w:val="22"/>
          <w:szCs w:val="22"/>
        </w:rPr>
        <w:t>Cinquante mille franc Djibouti</w:t>
      </w:r>
      <w:r w:rsidRPr="00BA0596">
        <w:rPr>
          <w:sz w:val="22"/>
          <w:szCs w:val="22"/>
        </w:rPr>
        <w:t xml:space="preserve"> (</w:t>
      </w:r>
      <w:r w:rsidRPr="00BA0596">
        <w:rPr>
          <w:b/>
          <w:sz w:val="22"/>
          <w:szCs w:val="22"/>
        </w:rPr>
        <w:t>50 000 FDJ</w:t>
      </w:r>
      <w:r w:rsidRPr="00BA0596">
        <w:rPr>
          <w:sz w:val="22"/>
          <w:szCs w:val="22"/>
        </w:rPr>
        <w:t xml:space="preserve">). </w:t>
      </w:r>
      <w:r w:rsidR="00602B84" w:rsidRPr="00602B84">
        <w:rPr>
          <w:sz w:val="20"/>
        </w:rPr>
        <w:t xml:space="preserve">Le dossier d’appel d’offres sera adressé par courriel électronique ou sur présentation d’une clé USB </w:t>
      </w:r>
      <w:r w:rsidR="00602B84" w:rsidRPr="00602B84">
        <w:rPr>
          <w:iCs/>
          <w:sz w:val="20"/>
        </w:rPr>
        <w:t>ou en version papier</w:t>
      </w:r>
      <w:r w:rsidRPr="00BA0596">
        <w:rPr>
          <w:sz w:val="22"/>
          <w:szCs w:val="22"/>
        </w:rPr>
        <w:t>.</w:t>
      </w:r>
    </w:p>
    <w:p w:rsidR="00CB5982" w:rsidRPr="004B3B94" w:rsidRDefault="00CB5982" w:rsidP="00CB5982">
      <w:pPr>
        <w:numPr>
          <w:ilvl w:val="2"/>
          <w:numId w:val="1"/>
        </w:numPr>
        <w:tabs>
          <w:tab w:val="left" w:pos="-720"/>
          <w:tab w:val="left" w:pos="0"/>
        </w:tabs>
        <w:spacing w:before="120" w:after="120"/>
        <w:ind w:left="720" w:hanging="630"/>
        <w:rPr>
          <w:i/>
          <w:spacing w:val="-3"/>
          <w:sz w:val="22"/>
          <w:szCs w:val="22"/>
        </w:rPr>
      </w:pPr>
      <w:r w:rsidRPr="005E02B7">
        <w:rPr>
          <w:sz w:val="22"/>
          <w:szCs w:val="22"/>
        </w:rPr>
        <w:t xml:space="preserve">Les offres devront être remises à l’adresse fourni ci-dessus au plus tard le </w:t>
      </w:r>
      <w:r w:rsidRPr="005E02B7">
        <w:rPr>
          <w:b/>
          <w:sz w:val="22"/>
          <w:szCs w:val="22"/>
        </w:rPr>
        <w:t xml:space="preserve">Mercredi </w:t>
      </w:r>
      <w:r w:rsidRPr="005E02B7">
        <w:rPr>
          <w:b/>
          <w:color w:val="FF0000"/>
          <w:sz w:val="22"/>
          <w:szCs w:val="22"/>
        </w:rPr>
        <w:t>15 Avril</w:t>
      </w:r>
      <w:r w:rsidRPr="005E02B7">
        <w:rPr>
          <w:b/>
          <w:sz w:val="22"/>
          <w:szCs w:val="22"/>
        </w:rPr>
        <w:t xml:space="preserve"> 2026 à 8h00</w:t>
      </w:r>
      <w:r w:rsidRPr="005E02B7">
        <w:rPr>
          <w:sz w:val="22"/>
          <w:szCs w:val="22"/>
        </w:rPr>
        <w:t xml:space="preserve">. La soumission des offres par voie électronique ne sera pas autorisée. Les enveloppes extérieures de l’Offre marquées « ORIGINAL DE L’OFFRE », et les enveloppes intérieures marquées « PARTIE TECHNIQUE » seront ouvertes en présence des représentants des Soumissionnaires et de toute personne qui souhaitent assister à l’ouverture des plis à l’adresse indiquée ci-dessous : </w:t>
      </w:r>
      <w:r w:rsidRPr="005E02B7">
        <w:rPr>
          <w:b/>
          <w:sz w:val="22"/>
          <w:szCs w:val="22"/>
        </w:rPr>
        <w:t xml:space="preserve">Mercredi </w:t>
      </w:r>
      <w:r w:rsidRPr="00872F95">
        <w:rPr>
          <w:b/>
          <w:sz w:val="22"/>
          <w:szCs w:val="22"/>
        </w:rPr>
        <w:t>15 Avril</w:t>
      </w:r>
      <w:r w:rsidRPr="005E02B7">
        <w:rPr>
          <w:b/>
          <w:sz w:val="22"/>
          <w:szCs w:val="22"/>
        </w:rPr>
        <w:t xml:space="preserve"> 2026 à 9h00</w:t>
      </w:r>
      <w:r w:rsidRPr="005E02B7">
        <w:rPr>
          <w:sz w:val="22"/>
          <w:szCs w:val="22"/>
        </w:rPr>
        <w:t xml:space="preserve"> à la salle de réunion de la Commission Nationale des Marchés en présence des représentants des soumissionnaires et des personnes présentes. Toutes les enveloppes marquées « PARTIE FINANCIERE » demeureront non-ouvertes et seront conservées dans un lieu sûr par le Maître d’Ouvrage jusqu’à la seconde ouverture publique des Offres.</w:t>
      </w:r>
      <w:r w:rsidRPr="005E02B7">
        <w:t xml:space="preserve"> </w:t>
      </w:r>
      <w:r w:rsidRPr="004B3B94">
        <w:rPr>
          <w:sz w:val="22"/>
          <w:szCs w:val="22"/>
        </w:rPr>
        <w:t xml:space="preserve">Les offres devront impérativement être soumises sous deux (02) enveloppes séparées, </w:t>
      </w:r>
      <w:proofErr w:type="spellStart"/>
      <w:r w:rsidRPr="004B3B94">
        <w:rPr>
          <w:sz w:val="22"/>
          <w:szCs w:val="22"/>
        </w:rPr>
        <w:t>sc</w:t>
      </w:r>
      <w:proofErr w:type="spellEnd"/>
      <w:r w:rsidR="005B1B5E">
        <w:rPr>
          <w:sz w:val="22"/>
          <w:szCs w:val="22"/>
        </w:rPr>
        <w:t xml:space="preserve"> </w:t>
      </w:r>
      <w:proofErr w:type="spellStart"/>
      <w:r w:rsidRPr="004B3B94">
        <w:rPr>
          <w:sz w:val="22"/>
          <w:szCs w:val="22"/>
        </w:rPr>
        <w:t>ellées</w:t>
      </w:r>
      <w:proofErr w:type="spellEnd"/>
      <w:r w:rsidRPr="004B3B94">
        <w:rPr>
          <w:sz w:val="22"/>
          <w:szCs w:val="22"/>
        </w:rPr>
        <w:t xml:space="preserve"> et dûment identifiées, l’une contenant l’offre technique et l’autre l’offre financière. Toute non-conformité à cette exigence entraînera le rejet pur et simple de l’offre.</w:t>
      </w:r>
    </w:p>
    <w:p w:rsidR="00CB5982" w:rsidRPr="00BA0596" w:rsidRDefault="00CB5982" w:rsidP="00CB5982">
      <w:pPr>
        <w:numPr>
          <w:ilvl w:val="2"/>
          <w:numId w:val="1"/>
        </w:numPr>
        <w:spacing w:before="120" w:after="120"/>
        <w:ind w:left="720" w:hanging="630"/>
        <w:rPr>
          <w:i/>
          <w:iCs/>
          <w:spacing w:val="-3"/>
          <w:sz w:val="22"/>
          <w:szCs w:val="22"/>
        </w:rPr>
      </w:pPr>
      <w:r w:rsidRPr="00BA0596">
        <w:rPr>
          <w:sz w:val="22"/>
          <w:szCs w:val="22"/>
        </w:rPr>
        <w:t>Les offres doivent être accompagnées d’</w:t>
      </w:r>
      <w:r w:rsidRPr="00BA0596">
        <w:rPr>
          <w:i/>
          <w:iCs/>
          <w:sz w:val="22"/>
          <w:szCs w:val="22"/>
        </w:rPr>
        <w:t xml:space="preserve">une Garantie d’Offre, </w:t>
      </w:r>
      <w:r w:rsidRPr="00BA0596">
        <w:rPr>
          <w:sz w:val="22"/>
          <w:szCs w:val="22"/>
        </w:rPr>
        <w:t>pour un montant de :</w:t>
      </w:r>
    </w:p>
    <w:p w:rsidR="00CB5982" w:rsidRPr="00BA0596" w:rsidRDefault="00CB5982" w:rsidP="00CB5982">
      <w:pPr>
        <w:pStyle w:val="Paragraphedeliste"/>
        <w:numPr>
          <w:ilvl w:val="0"/>
          <w:numId w:val="2"/>
        </w:numPr>
        <w:ind w:left="1134"/>
        <w:rPr>
          <w:b/>
          <w:bCs/>
          <w:sz w:val="22"/>
          <w:szCs w:val="22"/>
        </w:rPr>
      </w:pPr>
      <w:r w:rsidRPr="00872F95">
        <w:rPr>
          <w:b/>
          <w:bCs/>
          <w:sz w:val="22"/>
          <w:szCs w:val="22"/>
        </w:rPr>
        <w:t>8 900 000</w:t>
      </w:r>
      <w:r>
        <w:rPr>
          <w:b/>
          <w:bCs/>
          <w:sz w:val="22"/>
          <w:szCs w:val="22"/>
        </w:rPr>
        <w:t xml:space="preserve"> </w:t>
      </w:r>
      <w:r w:rsidRPr="00BA0596">
        <w:rPr>
          <w:b/>
          <w:bCs/>
          <w:sz w:val="22"/>
          <w:szCs w:val="22"/>
        </w:rPr>
        <w:t>Francs Djibouti</w:t>
      </w:r>
    </w:p>
    <w:p w:rsidR="004A0F2B" w:rsidRDefault="00CB5982" w:rsidP="004A0F2B">
      <w:pPr>
        <w:numPr>
          <w:ilvl w:val="2"/>
          <w:numId w:val="1"/>
        </w:numPr>
        <w:spacing w:before="120" w:after="120"/>
        <w:ind w:left="720" w:hanging="630"/>
        <w:rPr>
          <w:sz w:val="22"/>
          <w:szCs w:val="22"/>
        </w:rPr>
      </w:pPr>
      <w:r w:rsidRPr="00BA0596">
        <w:rPr>
          <w:sz w:val="22"/>
          <w:szCs w:val="22"/>
        </w:rPr>
        <w:t>Les Offres doivent être accompagnées d’une Déclaration relative à l’Exploitation et aux Abus Sexuels (EAS) et/ou au Harcèlement Sexuel (HS).</w:t>
      </w:r>
    </w:p>
    <w:p w:rsidR="00CB5982" w:rsidRPr="004A0F2B" w:rsidRDefault="00CB5982" w:rsidP="004A0F2B">
      <w:pPr>
        <w:numPr>
          <w:ilvl w:val="2"/>
          <w:numId w:val="1"/>
        </w:numPr>
        <w:spacing w:before="120" w:after="120"/>
        <w:ind w:left="720" w:hanging="630"/>
        <w:rPr>
          <w:sz w:val="22"/>
          <w:szCs w:val="22"/>
        </w:rPr>
      </w:pPr>
      <w:r w:rsidRPr="004A0F2B">
        <w:rPr>
          <w:sz w:val="22"/>
          <w:szCs w:val="22"/>
        </w:rPr>
        <w:t xml:space="preserve">Veuillez noter que le Règlement de Passation des Marchés exige que l’Emprunteur divulgue les informations sur les </w:t>
      </w:r>
      <w:hyperlink r:id="rId9" w:history="1">
        <w:r w:rsidRPr="004A0F2B">
          <w:rPr>
            <w:sz w:val="22"/>
            <w:szCs w:val="22"/>
          </w:rPr>
          <w:t>propriétaires effectifs</w:t>
        </w:r>
      </w:hyperlink>
      <w:r w:rsidRPr="004A0F2B">
        <w:rPr>
          <w:sz w:val="22"/>
          <w:szCs w:val="22"/>
        </w:rPr>
        <w:t xml:space="preserve"> du Soumissionnaire attributaire, dans le cadre de l’avis de Notification d’Attribution de Marché, en renseignant le Formulaire de Divulgation </w:t>
      </w:r>
      <w:hyperlink r:id="rId10" w:history="1">
        <w:r w:rsidRPr="004A0F2B">
          <w:rPr>
            <w:sz w:val="22"/>
            <w:szCs w:val="22"/>
          </w:rPr>
          <w:t>des Bénéficiaires Effectifs</w:t>
        </w:r>
      </w:hyperlink>
      <w:r w:rsidRPr="004A0F2B">
        <w:rPr>
          <w:sz w:val="22"/>
          <w:szCs w:val="22"/>
        </w:rPr>
        <w:t xml:space="preserve"> inclus dans le dossier d’appel d’offres ».</w:t>
      </w:r>
    </w:p>
    <w:p w:rsidR="00CB5982" w:rsidRPr="00BA0596" w:rsidRDefault="00CB5982" w:rsidP="00CB5982">
      <w:pPr>
        <w:pStyle w:val="Paragraphedeliste"/>
        <w:numPr>
          <w:ilvl w:val="2"/>
          <w:numId w:val="1"/>
        </w:numPr>
        <w:spacing w:before="240"/>
        <w:rPr>
          <w:sz w:val="22"/>
          <w:szCs w:val="22"/>
          <w:lang w:val="fr-FR"/>
        </w:rPr>
      </w:pPr>
      <w:r w:rsidRPr="00BA0596">
        <w:rPr>
          <w:sz w:val="22"/>
          <w:szCs w:val="22"/>
          <w:lang w:val="fr-FR"/>
        </w:rPr>
        <w:t>Les adresse(s) auxquelles il est fait référence ci-dessus (sont) :</w:t>
      </w:r>
    </w:p>
    <w:p w:rsidR="00CB5982" w:rsidRPr="00CB5982" w:rsidRDefault="00CB5982" w:rsidP="00CB5982">
      <w:pPr>
        <w:pStyle w:val="Paragraphedeliste"/>
        <w:numPr>
          <w:ilvl w:val="0"/>
          <w:numId w:val="3"/>
        </w:numPr>
        <w:spacing w:before="240"/>
        <w:rPr>
          <w:sz w:val="22"/>
          <w:szCs w:val="22"/>
          <w:lang w:val="fr-FR"/>
        </w:rPr>
      </w:pPr>
      <w:r w:rsidRPr="00BA0596">
        <w:rPr>
          <w:sz w:val="22"/>
          <w:szCs w:val="22"/>
          <w:lang w:val="fr-FR"/>
        </w:rPr>
        <w:t xml:space="preserve">Les offres seront déposées à l’adresse ci-dessous au plus tard au </w:t>
      </w:r>
      <w:r w:rsidRPr="00BA0596">
        <w:rPr>
          <w:b/>
          <w:bCs/>
          <w:sz w:val="22"/>
          <w:szCs w:val="22"/>
          <w:lang w:val="fr-FR"/>
        </w:rPr>
        <w:t xml:space="preserve">Mercredi </w:t>
      </w:r>
      <w:r w:rsidRPr="00D751F5">
        <w:rPr>
          <w:b/>
          <w:sz w:val="22"/>
          <w:szCs w:val="22"/>
          <w:lang w:val="fr-FR"/>
        </w:rPr>
        <w:t xml:space="preserve">15 Avril </w:t>
      </w:r>
      <w:r w:rsidRPr="00BA0596">
        <w:rPr>
          <w:b/>
          <w:bCs/>
          <w:sz w:val="22"/>
          <w:szCs w:val="22"/>
          <w:lang w:val="fr-FR"/>
        </w:rPr>
        <w:t>2026 à 8H00</w:t>
      </w:r>
      <w:r w:rsidRPr="00BA0596">
        <w:rPr>
          <w:sz w:val="22"/>
          <w:szCs w:val="22"/>
          <w:lang w:val="fr-FR"/>
        </w:rPr>
        <w:t xml:space="preserve">: </w:t>
      </w:r>
    </w:p>
    <w:p w:rsidR="00CB5982" w:rsidRPr="00BA0596" w:rsidRDefault="00CB5982" w:rsidP="00CB5982">
      <w:pPr>
        <w:pStyle w:val="NormalWeb"/>
        <w:spacing w:before="0" w:beforeAutospacing="0" w:after="0" w:afterAutospacing="0" w:line="276" w:lineRule="auto"/>
        <w:jc w:val="center"/>
        <w:rPr>
          <w:color w:val="333399"/>
          <w:sz w:val="22"/>
          <w:szCs w:val="22"/>
        </w:rPr>
      </w:pPr>
      <w:r w:rsidRPr="00BA0596">
        <w:rPr>
          <w:color w:val="333399"/>
          <w:sz w:val="22"/>
          <w:szCs w:val="22"/>
        </w:rPr>
        <w:t>Ministère de l’Education Nationale et de la Formation Professionnelle (MENFOP) - Boulevard de la République, BP 2043, République de Djibouti.</w:t>
      </w:r>
    </w:p>
    <w:p w:rsidR="00CB5982" w:rsidRPr="00BA0596" w:rsidRDefault="00CB5982" w:rsidP="00CB5982">
      <w:pPr>
        <w:spacing w:after="0"/>
        <w:jc w:val="center"/>
        <w:rPr>
          <w:color w:val="333399"/>
          <w:sz w:val="22"/>
          <w:szCs w:val="22"/>
        </w:rPr>
      </w:pPr>
      <w:r w:rsidRPr="00BA0596">
        <w:rPr>
          <w:color w:val="333399"/>
          <w:sz w:val="22"/>
          <w:szCs w:val="22"/>
        </w:rPr>
        <w:t>La Direction des Projets, de la Maintenance et des Equipements (DPME).</w:t>
      </w:r>
    </w:p>
    <w:p w:rsidR="00CB5982" w:rsidRPr="00BA0596" w:rsidRDefault="00CB5982" w:rsidP="00CB5982">
      <w:pPr>
        <w:spacing w:after="0"/>
        <w:jc w:val="center"/>
        <w:rPr>
          <w:color w:val="333399"/>
          <w:sz w:val="22"/>
          <w:szCs w:val="22"/>
        </w:rPr>
      </w:pPr>
      <w:r w:rsidRPr="00BA0596">
        <w:rPr>
          <w:color w:val="333399"/>
          <w:sz w:val="22"/>
          <w:szCs w:val="22"/>
        </w:rPr>
        <w:t>Service de Gestion des Projets(SGP).</w:t>
      </w:r>
    </w:p>
    <w:p w:rsidR="00CB5982" w:rsidRPr="00BA0596" w:rsidRDefault="00CB5982" w:rsidP="00CB5982">
      <w:pPr>
        <w:spacing w:after="0"/>
        <w:jc w:val="center"/>
        <w:rPr>
          <w:color w:val="333399"/>
          <w:sz w:val="22"/>
          <w:szCs w:val="22"/>
        </w:rPr>
      </w:pPr>
      <w:r w:rsidRPr="00BA0596">
        <w:rPr>
          <w:color w:val="333399"/>
          <w:sz w:val="22"/>
          <w:szCs w:val="22"/>
        </w:rPr>
        <w:t>1er étage, salle B317.</w:t>
      </w:r>
    </w:p>
    <w:p w:rsidR="004A0F2B" w:rsidRPr="004A0F2B" w:rsidRDefault="00CB5982" w:rsidP="004A0F2B">
      <w:pPr>
        <w:spacing w:after="0"/>
        <w:jc w:val="center"/>
        <w:rPr>
          <w:sz w:val="20"/>
        </w:rPr>
      </w:pPr>
      <w:r w:rsidRPr="004A0F2B">
        <w:rPr>
          <w:sz w:val="20"/>
        </w:rPr>
        <w:t>+253. 21356334 / 21351420.</w:t>
      </w:r>
    </w:p>
    <w:p w:rsidR="004A0F2B" w:rsidRPr="004A0F2B" w:rsidRDefault="004A0F2B" w:rsidP="004A0F2B">
      <w:pPr>
        <w:spacing w:after="0"/>
        <w:jc w:val="center"/>
        <w:rPr>
          <w:sz w:val="20"/>
        </w:rPr>
      </w:pPr>
      <w:r w:rsidRPr="004A0F2B">
        <w:rPr>
          <w:spacing w:val="-3"/>
          <w:sz w:val="20"/>
        </w:rPr>
        <w:t xml:space="preserve">Adresse électronique : </w:t>
      </w:r>
      <w:hyperlink r:id="rId11" w:history="1">
        <w:r w:rsidRPr="004A0F2B">
          <w:rPr>
            <w:spacing w:val="-3"/>
            <w:sz w:val="20"/>
          </w:rPr>
          <w:t>msalehnio@gmail.com</w:t>
        </w:r>
      </w:hyperlink>
    </w:p>
    <w:p w:rsidR="004A0F2B" w:rsidRDefault="004A0F2B" w:rsidP="004A0F2B">
      <w:pPr>
        <w:spacing w:after="0"/>
        <w:ind w:left="3408" w:firstLine="132"/>
        <w:rPr>
          <w:sz w:val="20"/>
        </w:rPr>
      </w:pPr>
      <w:hyperlink r:id="rId12" w:history="1">
        <w:r w:rsidRPr="004A0F2B">
          <w:rPr>
            <w:rStyle w:val="Lienhypertexte"/>
            <w:color w:val="auto"/>
            <w:sz w:val="20"/>
          </w:rPr>
          <w:t>menfoprojets@gmail.com</w:t>
        </w:r>
      </w:hyperlink>
      <w:r w:rsidRPr="004A0F2B">
        <w:rPr>
          <w:sz w:val="20"/>
        </w:rPr>
        <w:t>;</w:t>
      </w:r>
    </w:p>
    <w:p w:rsidR="00CB5982" w:rsidRPr="004A0F2B" w:rsidRDefault="00CB5982" w:rsidP="004A0F2B">
      <w:pPr>
        <w:spacing w:after="0"/>
        <w:jc w:val="center"/>
        <w:rPr>
          <w:sz w:val="20"/>
        </w:rPr>
      </w:pPr>
      <w:r w:rsidRPr="00BA0596">
        <w:rPr>
          <w:b/>
          <w:sz w:val="22"/>
          <w:szCs w:val="22"/>
        </w:rPr>
        <w:t xml:space="preserve">Les plis seront ouverts à la Commission National des Marchés Publics en présence des représentants des soumissionnaires qui souhaitent être présents à la séance d’ouverture, le Mercredi </w:t>
      </w:r>
      <w:r w:rsidRPr="00872F95">
        <w:rPr>
          <w:b/>
          <w:sz w:val="22"/>
          <w:szCs w:val="22"/>
        </w:rPr>
        <w:t>15 Avril</w:t>
      </w:r>
      <w:r w:rsidRPr="00D751F5">
        <w:rPr>
          <w:b/>
          <w:sz w:val="22"/>
          <w:szCs w:val="22"/>
        </w:rPr>
        <w:t xml:space="preserve"> </w:t>
      </w:r>
      <w:r w:rsidRPr="00BA0596">
        <w:rPr>
          <w:b/>
          <w:bCs/>
          <w:sz w:val="22"/>
          <w:szCs w:val="22"/>
        </w:rPr>
        <w:t>2026</w:t>
      </w:r>
      <w:r w:rsidRPr="00BA0596">
        <w:rPr>
          <w:b/>
          <w:sz w:val="22"/>
          <w:szCs w:val="22"/>
        </w:rPr>
        <w:t xml:space="preserve"> à 09h00 (heure locale).</w:t>
      </w:r>
    </w:p>
    <w:p w:rsidR="004F48A9" w:rsidRDefault="004F48A9" w:rsidP="003F4CE7">
      <w:pPr>
        <w:ind w:left="0" w:firstLine="0"/>
      </w:pPr>
    </w:p>
    <w:sectPr w:rsidR="004F48A9" w:rsidSect="004A0F2B">
      <w:pgSz w:w="11906" w:h="16838"/>
      <w:pgMar w:top="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Utiliser une police de caractè">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D1FF6"/>
    <w:multiLevelType w:val="hybridMultilevel"/>
    <w:tmpl w:val="E454FEA0"/>
    <w:lvl w:ilvl="0" w:tplc="CD889238">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15362F"/>
    <w:multiLevelType w:val="hybridMultilevel"/>
    <w:tmpl w:val="5E740FFA"/>
    <w:lvl w:ilvl="0" w:tplc="0409000F">
      <w:start w:val="1"/>
      <w:numFmt w:val="decimal"/>
      <w:lvlText w:val="%1."/>
      <w:lvlJc w:val="left"/>
      <w:pPr>
        <w:ind w:left="720" w:hanging="360"/>
      </w:pPr>
    </w:lvl>
    <w:lvl w:ilvl="1" w:tplc="60528A2C">
      <w:start w:val="1"/>
      <w:numFmt w:val="upperRoman"/>
      <w:lvlText w:val="%2."/>
      <w:lvlJc w:val="left"/>
      <w:pPr>
        <w:ind w:left="1800" w:hanging="720"/>
      </w:pPr>
      <w:rPr>
        <w:rFonts w:hint="default"/>
      </w:rPr>
    </w:lvl>
    <w:lvl w:ilvl="2" w:tplc="66B00476">
      <w:start w:val="1"/>
      <w:numFmt w:val="decimal"/>
      <w:lvlText w:val="%3."/>
      <w:lvlJc w:val="left"/>
      <w:pPr>
        <w:ind w:left="322"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0648F0"/>
    <w:multiLevelType w:val="hybridMultilevel"/>
    <w:tmpl w:val="C15ED08A"/>
    <w:lvl w:ilvl="0" w:tplc="040C0003">
      <w:start w:val="1"/>
      <w:numFmt w:val="bullet"/>
      <w:lvlText w:val="o"/>
      <w:lvlJc w:val="left"/>
      <w:pPr>
        <w:ind w:left="2304" w:hanging="360"/>
      </w:pPr>
      <w:rPr>
        <w:rFonts w:ascii="Courier New" w:hAnsi="Courier New" w:cs="Courier New" w:hint="default"/>
      </w:rPr>
    </w:lvl>
    <w:lvl w:ilvl="1" w:tplc="040C0003" w:tentative="1">
      <w:start w:val="1"/>
      <w:numFmt w:val="bullet"/>
      <w:lvlText w:val="o"/>
      <w:lvlJc w:val="left"/>
      <w:pPr>
        <w:ind w:left="3024" w:hanging="360"/>
      </w:pPr>
      <w:rPr>
        <w:rFonts w:ascii="Courier New" w:hAnsi="Courier New" w:cs="Courier New" w:hint="default"/>
      </w:rPr>
    </w:lvl>
    <w:lvl w:ilvl="2" w:tplc="040C0005" w:tentative="1">
      <w:start w:val="1"/>
      <w:numFmt w:val="bullet"/>
      <w:lvlText w:val=""/>
      <w:lvlJc w:val="left"/>
      <w:pPr>
        <w:ind w:left="3744" w:hanging="360"/>
      </w:pPr>
      <w:rPr>
        <w:rFonts w:ascii="Wingdings" w:hAnsi="Wingdings" w:hint="default"/>
      </w:rPr>
    </w:lvl>
    <w:lvl w:ilvl="3" w:tplc="040C0001" w:tentative="1">
      <w:start w:val="1"/>
      <w:numFmt w:val="bullet"/>
      <w:lvlText w:val=""/>
      <w:lvlJc w:val="left"/>
      <w:pPr>
        <w:ind w:left="4464" w:hanging="360"/>
      </w:pPr>
      <w:rPr>
        <w:rFonts w:ascii="Symbol" w:hAnsi="Symbol" w:hint="default"/>
      </w:rPr>
    </w:lvl>
    <w:lvl w:ilvl="4" w:tplc="040C0003" w:tentative="1">
      <w:start w:val="1"/>
      <w:numFmt w:val="bullet"/>
      <w:lvlText w:val="o"/>
      <w:lvlJc w:val="left"/>
      <w:pPr>
        <w:ind w:left="5184" w:hanging="360"/>
      </w:pPr>
      <w:rPr>
        <w:rFonts w:ascii="Courier New" w:hAnsi="Courier New" w:cs="Courier New" w:hint="default"/>
      </w:rPr>
    </w:lvl>
    <w:lvl w:ilvl="5" w:tplc="040C0005" w:tentative="1">
      <w:start w:val="1"/>
      <w:numFmt w:val="bullet"/>
      <w:lvlText w:val=""/>
      <w:lvlJc w:val="left"/>
      <w:pPr>
        <w:ind w:left="5904" w:hanging="360"/>
      </w:pPr>
      <w:rPr>
        <w:rFonts w:ascii="Wingdings" w:hAnsi="Wingdings" w:hint="default"/>
      </w:rPr>
    </w:lvl>
    <w:lvl w:ilvl="6" w:tplc="040C0001" w:tentative="1">
      <w:start w:val="1"/>
      <w:numFmt w:val="bullet"/>
      <w:lvlText w:val=""/>
      <w:lvlJc w:val="left"/>
      <w:pPr>
        <w:ind w:left="6624" w:hanging="360"/>
      </w:pPr>
      <w:rPr>
        <w:rFonts w:ascii="Symbol" w:hAnsi="Symbol" w:hint="default"/>
      </w:rPr>
    </w:lvl>
    <w:lvl w:ilvl="7" w:tplc="040C0003" w:tentative="1">
      <w:start w:val="1"/>
      <w:numFmt w:val="bullet"/>
      <w:lvlText w:val="o"/>
      <w:lvlJc w:val="left"/>
      <w:pPr>
        <w:ind w:left="7344" w:hanging="360"/>
      </w:pPr>
      <w:rPr>
        <w:rFonts w:ascii="Courier New" w:hAnsi="Courier New" w:cs="Courier New" w:hint="default"/>
      </w:rPr>
    </w:lvl>
    <w:lvl w:ilvl="8" w:tplc="040C0005" w:tentative="1">
      <w:start w:val="1"/>
      <w:numFmt w:val="bullet"/>
      <w:lvlText w:val=""/>
      <w:lvlJc w:val="left"/>
      <w:pPr>
        <w:ind w:left="8064" w:hanging="360"/>
      </w:pPr>
      <w:rPr>
        <w:rFonts w:ascii="Wingdings" w:hAnsi="Wingdings" w:hint="default"/>
      </w:rPr>
    </w:lvl>
  </w:abstractNum>
  <w:abstractNum w:abstractNumId="3">
    <w:nsid w:val="51115159"/>
    <w:multiLevelType w:val="hybridMultilevel"/>
    <w:tmpl w:val="03867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B5982"/>
    <w:rsid w:val="003F4CE7"/>
    <w:rsid w:val="004A0F2B"/>
    <w:rsid w:val="004B3B94"/>
    <w:rsid w:val="004F48A9"/>
    <w:rsid w:val="005B1B5E"/>
    <w:rsid w:val="00602B84"/>
    <w:rsid w:val="00B5430C"/>
    <w:rsid w:val="00CB59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82"/>
    <w:pPr>
      <w:spacing w:line="240" w:lineRule="auto"/>
      <w:ind w:left="576" w:hanging="576"/>
      <w:jc w:val="both"/>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B5982"/>
    <w:rPr>
      <w:rFonts w:cs="Times New Roman"/>
      <w:color w:val="0000FF"/>
      <w:u w:val="single"/>
    </w:rPr>
  </w:style>
  <w:style w:type="paragraph" w:styleId="Titre">
    <w:name w:val="Title"/>
    <w:basedOn w:val="Normal"/>
    <w:link w:val="TitreCar"/>
    <w:qFormat/>
    <w:rsid w:val="00CB5982"/>
    <w:pPr>
      <w:jc w:val="center"/>
    </w:pPr>
    <w:rPr>
      <w:b/>
      <w:sz w:val="48"/>
      <w:lang w:val="es-ES_tradnl"/>
    </w:rPr>
  </w:style>
  <w:style w:type="character" w:customStyle="1" w:styleId="TitreCar">
    <w:name w:val="Titre Car"/>
    <w:basedOn w:val="Policepardfaut"/>
    <w:link w:val="Titre"/>
    <w:rsid w:val="00CB5982"/>
    <w:rPr>
      <w:rFonts w:ascii="Times New Roman" w:eastAsia="Times New Roman" w:hAnsi="Times New Roman" w:cs="Times New Roman"/>
      <w:b/>
      <w:sz w:val="48"/>
      <w:szCs w:val="20"/>
      <w:lang w:val="es-ES_tradnl" w:eastAsia="fr-FR"/>
    </w:rPr>
  </w:style>
  <w:style w:type="paragraph" w:styleId="Liste">
    <w:name w:val="List"/>
    <w:aliases w:val="1. List"/>
    <w:basedOn w:val="Normal"/>
    <w:rsid w:val="00CB5982"/>
    <w:pPr>
      <w:spacing w:before="120" w:after="120"/>
      <w:ind w:left="1440"/>
    </w:pPr>
    <w:rPr>
      <w:lang w:val="en-US"/>
    </w:rPr>
  </w:style>
  <w:style w:type="paragraph" w:styleId="NormalWeb">
    <w:name w:val="Normal (Web)"/>
    <w:basedOn w:val="Normal"/>
    <w:uiPriority w:val="99"/>
    <w:rsid w:val="00CB5982"/>
    <w:pPr>
      <w:spacing w:before="100" w:beforeAutospacing="1" w:after="100" w:afterAutospacing="1"/>
      <w:jc w:val="left"/>
    </w:pPr>
    <w:rPr>
      <w:szCs w:val="24"/>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next w:val="Liste"/>
    <w:link w:val="ParagraphedelisteCar"/>
    <w:uiPriority w:val="34"/>
    <w:qFormat/>
    <w:rsid w:val="00CB5982"/>
    <w:pPr>
      <w:spacing w:before="120" w:after="120"/>
      <w:ind w:left="1440"/>
    </w:pPr>
    <w:rPr>
      <w:lang w:val="en-US"/>
    </w:rPr>
  </w:style>
  <w:style w:type="paragraph" w:customStyle="1" w:styleId="UG-Title">
    <w:name w:val="UG-Title"/>
    <w:basedOn w:val="Sous-titre"/>
    <w:qFormat/>
    <w:rsid w:val="00CB5982"/>
    <w:pPr>
      <w:numPr>
        <w:ilvl w:val="0"/>
      </w:numPr>
      <w:ind w:left="576" w:hanging="576"/>
      <w:jc w:val="center"/>
    </w:pPr>
    <w:rPr>
      <w:rFonts w:ascii="Times New Roman" w:eastAsia="Times New Roman" w:hAnsi="Times New Roman" w:cs="Times New Roman"/>
      <w:b/>
      <w:i w:val="0"/>
      <w:iCs w:val="0"/>
      <w:color w:val="auto"/>
      <w:spacing w:val="0"/>
      <w:sz w:val="44"/>
      <w:szCs w:val="20"/>
      <w:lang w:val="es-ES_tradnl"/>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locked/>
    <w:rsid w:val="00CB5982"/>
    <w:rPr>
      <w:rFonts w:ascii="Times New Roman" w:eastAsia="Times New Roman" w:hAnsi="Times New Roman" w:cs="Times New Roman"/>
      <w:sz w:val="24"/>
      <w:szCs w:val="20"/>
      <w:lang w:val="en-US" w:eastAsia="fr-FR"/>
    </w:rPr>
  </w:style>
  <w:style w:type="character" w:styleId="lev">
    <w:name w:val="Strong"/>
    <w:uiPriority w:val="22"/>
    <w:qFormat/>
    <w:rsid w:val="00CB5982"/>
    <w:rPr>
      <w:b/>
      <w:bCs/>
    </w:rPr>
  </w:style>
  <w:style w:type="paragraph" w:styleId="Sous-titre">
    <w:name w:val="Subtitle"/>
    <w:basedOn w:val="Normal"/>
    <w:next w:val="Normal"/>
    <w:link w:val="Sous-titreCar"/>
    <w:uiPriority w:val="11"/>
    <w:qFormat/>
    <w:rsid w:val="00CB5982"/>
    <w:pPr>
      <w:numPr>
        <w:ilvl w:val="1"/>
      </w:numPr>
      <w:ind w:left="576" w:hanging="576"/>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CB5982"/>
    <w:rPr>
      <w:rFonts w:asciiTheme="majorHAnsi" w:eastAsiaTheme="majorEastAsia" w:hAnsiTheme="majorHAnsi" w:cstheme="majorBidi"/>
      <w:i/>
      <w:iCs/>
      <w:color w:val="4F81BD" w:themeColor="accent1"/>
      <w:spacing w:val="15"/>
      <w:sz w:val="24"/>
      <w:szCs w:val="24"/>
      <w:lang w:eastAsia="fr-FR"/>
    </w:rPr>
  </w:style>
  <w:style w:type="paragraph" w:styleId="Textedebulles">
    <w:name w:val="Balloon Text"/>
    <w:basedOn w:val="Normal"/>
    <w:link w:val="TextedebullesCar"/>
    <w:uiPriority w:val="99"/>
    <w:semiHidden/>
    <w:unhideWhenUsed/>
    <w:rsid w:val="004B3B9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B3B94"/>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ehni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nfoprojets@gmail.com" TargetMode="External"/><Relationship Id="rId12" Type="http://schemas.openxmlformats.org/officeDocument/2006/relationships/hyperlink" Target="mailto:menfoproje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salehnio@gmail.com" TargetMode="External"/><Relationship Id="rId5" Type="http://schemas.openxmlformats.org/officeDocument/2006/relationships/image" Target="media/image1.jpeg"/><Relationship Id="rId10" Type="http://schemas.openxmlformats.org/officeDocument/2006/relationships/hyperlink" Target="http://context.reverso.net/traduction/francais-anglais/des+b%C3%A9n%C3%A9ficiaires+effectifs" TargetMode="External"/><Relationship Id="rId4" Type="http://schemas.openxmlformats.org/officeDocument/2006/relationships/webSettings" Target="webSettings.xml"/><Relationship Id="rId9" Type="http://schemas.openxmlformats.org/officeDocument/2006/relationships/hyperlink" Target="http://context.reverso.net/traduction/francais-anglais/des+b%C3%A9n%C3%A9ficiaires+effectif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5745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2026-03-05T07:29:00Z</dcterms:created>
  <dcterms:modified xsi:type="dcterms:W3CDTF">2026-03-05T07:29:00Z</dcterms:modified>
</cp:coreProperties>
</file>