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7D2" w:rsidRDefault="00104AB3" w:rsidP="00104AB3">
      <w:pPr>
        <w:jc w:val="center"/>
        <w:rPr>
          <w:b/>
          <w:bCs/>
          <w:lang w:val="fr-FR"/>
        </w:rPr>
      </w:pPr>
      <w:r w:rsidRPr="00925EAC">
        <w:rPr>
          <w:rFonts w:ascii="Arial Narrow" w:hAnsi="Arial Narrow"/>
          <w:noProof/>
          <w:sz w:val="28"/>
          <w:szCs w:val="28"/>
          <w:lang w:val="fr-FR" w:eastAsia="fr-FR"/>
        </w:rPr>
        <w:drawing>
          <wp:anchor distT="0" distB="0" distL="114300" distR="114300" simplePos="0" relativeHeight="251658240" behindDoc="1" locked="0" layoutInCell="1" allowOverlap="1">
            <wp:simplePos x="0" y="0"/>
            <wp:positionH relativeFrom="column">
              <wp:posOffset>-114300</wp:posOffset>
            </wp:positionH>
            <wp:positionV relativeFrom="paragraph">
              <wp:posOffset>0</wp:posOffset>
            </wp:positionV>
            <wp:extent cx="1362075" cy="1282700"/>
            <wp:effectExtent l="0" t="0" r="9525" b="0"/>
            <wp:wrapTight wrapText="bothSides">
              <wp:wrapPolygon edited="0">
                <wp:start x="0" y="0"/>
                <wp:lineTo x="0" y="21172"/>
                <wp:lineTo x="21449" y="21172"/>
                <wp:lineTo x="21449" y="0"/>
                <wp:lineTo x="0" y="0"/>
              </wp:wrapPolygon>
            </wp:wrapTight>
            <wp:docPr id="1" name="Image 1" descr="C:\Users\USER\Pictures\MENF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MENFOP.jp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282700"/>
                    </a:xfrm>
                    <a:prstGeom prst="rect">
                      <a:avLst/>
                    </a:prstGeom>
                    <a:noFill/>
                    <a:ln>
                      <a:noFill/>
                    </a:ln>
                  </pic:spPr>
                </pic:pic>
              </a:graphicData>
            </a:graphic>
          </wp:anchor>
        </w:drawing>
      </w:r>
      <w:r w:rsidR="0082504F">
        <w:rPr>
          <w:b/>
          <w:bCs/>
          <w:lang w:val="fr-FR"/>
        </w:rPr>
        <w:t>République de Djibouti</w:t>
      </w:r>
    </w:p>
    <w:p w:rsidR="0082504F" w:rsidRDefault="0082504F" w:rsidP="00104AB3">
      <w:pPr>
        <w:jc w:val="center"/>
        <w:rPr>
          <w:b/>
          <w:bCs/>
          <w:lang w:val="fr-FR"/>
        </w:rPr>
      </w:pPr>
      <w:r>
        <w:rPr>
          <w:b/>
          <w:bCs/>
          <w:lang w:val="fr-FR"/>
        </w:rPr>
        <w:t>Ministère de l’Education Natio</w:t>
      </w:r>
      <w:r w:rsidR="00104AB3">
        <w:rPr>
          <w:b/>
          <w:bCs/>
          <w:lang w:val="fr-FR"/>
        </w:rPr>
        <w:t>na</w:t>
      </w:r>
      <w:r>
        <w:rPr>
          <w:b/>
          <w:bCs/>
          <w:lang w:val="fr-FR"/>
        </w:rPr>
        <w:t>le et de la Formation Professionnelle</w:t>
      </w:r>
    </w:p>
    <w:p w:rsidR="00D7624D" w:rsidRPr="00104AB3" w:rsidRDefault="00D7624D" w:rsidP="00D7624D">
      <w:pPr>
        <w:jc w:val="center"/>
        <w:rPr>
          <w:rFonts w:ascii="Arial Narrow" w:hAnsi="Arial Narrow"/>
          <w:sz w:val="28"/>
          <w:szCs w:val="28"/>
          <w:lang w:val="fr-FR"/>
        </w:rPr>
      </w:pPr>
    </w:p>
    <w:p w:rsidR="00104AB3" w:rsidRPr="00C17C8D" w:rsidRDefault="009E7097" w:rsidP="009E7097">
      <w:pPr>
        <w:rPr>
          <w:rFonts w:ascii="Arial Narrow" w:hAnsi="Arial Narrow"/>
          <w:b/>
          <w:sz w:val="28"/>
          <w:szCs w:val="28"/>
          <w:lang w:val="fr-FR"/>
        </w:rPr>
      </w:pPr>
      <w:r w:rsidRPr="00C17C8D">
        <w:rPr>
          <w:rFonts w:ascii="Arial Narrow" w:hAnsi="Arial Narrow"/>
          <w:b/>
          <w:sz w:val="28"/>
          <w:szCs w:val="28"/>
          <w:lang w:val="fr-FR"/>
        </w:rPr>
        <w:t xml:space="preserve">                       </w:t>
      </w:r>
      <w:r w:rsidR="00C17C8D">
        <w:rPr>
          <w:rFonts w:ascii="Arial Narrow" w:hAnsi="Arial Narrow"/>
          <w:b/>
          <w:sz w:val="28"/>
          <w:szCs w:val="28"/>
          <w:lang w:val="fr-FR"/>
        </w:rPr>
        <w:t xml:space="preserve">                  </w:t>
      </w:r>
      <w:r w:rsidRPr="00C17C8D">
        <w:rPr>
          <w:rFonts w:ascii="Arial Narrow" w:hAnsi="Arial Narrow"/>
          <w:b/>
          <w:sz w:val="28"/>
          <w:szCs w:val="28"/>
          <w:lang w:val="fr-FR"/>
        </w:rPr>
        <w:t xml:space="preserve"> </w:t>
      </w:r>
      <w:r w:rsidR="00D7624D" w:rsidRPr="00C17C8D">
        <w:rPr>
          <w:rFonts w:ascii="Arial Narrow" w:hAnsi="Arial Narrow"/>
          <w:b/>
          <w:sz w:val="28"/>
          <w:szCs w:val="28"/>
          <w:lang w:val="fr-FR"/>
        </w:rPr>
        <w:t>Termes De Référence</w:t>
      </w:r>
    </w:p>
    <w:p w:rsidR="00D7624D" w:rsidRPr="00C17C8D" w:rsidRDefault="00183818" w:rsidP="00D7624D">
      <w:pPr>
        <w:jc w:val="center"/>
        <w:rPr>
          <w:rFonts w:ascii="Arial Narrow" w:hAnsi="Arial Narrow"/>
          <w:b/>
          <w:sz w:val="28"/>
          <w:szCs w:val="28"/>
          <w:lang w:val="fr-FR"/>
        </w:rPr>
      </w:pPr>
      <w:r w:rsidRPr="00C17C8D">
        <w:rPr>
          <w:rFonts w:ascii="Arial Narrow" w:hAnsi="Arial Narrow"/>
          <w:b/>
          <w:sz w:val="28"/>
          <w:szCs w:val="28"/>
          <w:lang w:val="fr-FR"/>
        </w:rPr>
        <w:t>Pour</w:t>
      </w:r>
      <w:r w:rsidR="00A2655B" w:rsidRPr="00C17C8D">
        <w:rPr>
          <w:rFonts w:ascii="Arial Narrow" w:hAnsi="Arial Narrow"/>
          <w:b/>
          <w:sz w:val="28"/>
          <w:szCs w:val="28"/>
          <w:lang w:val="fr-FR"/>
        </w:rPr>
        <w:t xml:space="preserve"> le recrutement d’une Agence Indépendante de Vérification </w:t>
      </w:r>
    </w:p>
    <w:p w:rsidR="00D7624D" w:rsidRPr="00493397" w:rsidRDefault="00D7624D" w:rsidP="00493397">
      <w:pPr>
        <w:pStyle w:val="Titre1"/>
        <w:numPr>
          <w:ilvl w:val="0"/>
          <w:numId w:val="2"/>
        </w:numPr>
        <w:spacing w:before="240" w:after="240"/>
        <w:ind w:left="714" w:hanging="357"/>
        <w:rPr>
          <w:rFonts w:ascii="Calibri" w:hAnsi="Calibri" w:cs="Calibri"/>
          <w:color w:val="auto"/>
          <w:sz w:val="24"/>
          <w:u w:val="single"/>
        </w:rPr>
      </w:pPr>
      <w:r w:rsidRPr="00493397">
        <w:rPr>
          <w:rFonts w:ascii="Calibri" w:hAnsi="Calibri" w:cs="Calibri"/>
          <w:color w:val="auto"/>
          <w:sz w:val="24"/>
          <w:u w:val="single"/>
        </w:rPr>
        <w:t>Contexte et J</w:t>
      </w:r>
      <w:r w:rsidR="00A2655B" w:rsidRPr="00493397">
        <w:rPr>
          <w:rFonts w:ascii="Calibri" w:hAnsi="Calibri" w:cs="Calibri"/>
          <w:color w:val="auto"/>
          <w:sz w:val="24"/>
          <w:u w:val="single"/>
        </w:rPr>
        <w:t xml:space="preserve">ustification </w:t>
      </w:r>
    </w:p>
    <w:p w:rsidR="00D7624D" w:rsidRPr="00493397" w:rsidRDefault="00D7624D" w:rsidP="004933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before="120" w:after="120" w:line="288" w:lineRule="auto"/>
        <w:jc w:val="both"/>
        <w:rPr>
          <w:rFonts w:ascii="Times New Roman" w:eastAsia="Calibri" w:hAnsi="Times New Roman" w:cs="Times New Roman"/>
          <w:sz w:val="20"/>
          <w:szCs w:val="24"/>
          <w:bdr w:val="none" w:sz="0" w:space="0" w:color="auto" w:frame="1"/>
          <w:lang w:val="fr-FR"/>
        </w:rPr>
      </w:pPr>
      <w:r w:rsidRPr="00493397">
        <w:rPr>
          <w:rFonts w:ascii="Times New Roman" w:eastAsia="Calibri" w:hAnsi="Times New Roman" w:cs="Times New Roman"/>
          <w:sz w:val="20"/>
          <w:szCs w:val="24"/>
          <w:bdr w:val="none" w:sz="0" w:space="0" w:color="auto" w:frame="1"/>
          <w:lang w:val="fr-FR"/>
        </w:rPr>
        <w:t xml:space="preserve">Suite aux Etats Généraux de décembre 1999 desquels ont découlé la loi d’orientation du système éducatif et une vaste réforme du système éducatif djiboutien engagée en 2000, l’école </w:t>
      </w:r>
      <w:r w:rsidR="00493397" w:rsidRPr="00493397">
        <w:rPr>
          <w:rFonts w:ascii="Times New Roman" w:eastAsia="Calibri" w:hAnsi="Times New Roman" w:cs="Times New Roman"/>
          <w:sz w:val="20"/>
          <w:szCs w:val="24"/>
          <w:bdr w:val="none" w:sz="0" w:space="0" w:color="auto" w:frame="1"/>
          <w:lang w:val="fr-FR"/>
        </w:rPr>
        <w:t>Djiboutienne</w:t>
      </w:r>
      <w:r w:rsidRPr="00493397">
        <w:rPr>
          <w:rFonts w:ascii="Times New Roman" w:eastAsia="Calibri" w:hAnsi="Times New Roman" w:cs="Times New Roman"/>
          <w:sz w:val="20"/>
          <w:szCs w:val="24"/>
          <w:bdr w:val="none" w:sz="0" w:space="0" w:color="auto" w:frame="1"/>
          <w:lang w:val="fr-FR"/>
        </w:rPr>
        <w:t xml:space="preserve"> a connu des avancées notoires avec une démocratisation de l’école rendue obligatoire de 6 à 16 ans, une refonte des programmes, la conception de nouveaux manuels scolaires adaptés aux réalités </w:t>
      </w:r>
      <w:r w:rsidR="00493397" w:rsidRPr="00493397">
        <w:rPr>
          <w:rFonts w:ascii="Times New Roman" w:eastAsia="Calibri" w:hAnsi="Times New Roman" w:cs="Times New Roman"/>
          <w:sz w:val="20"/>
          <w:szCs w:val="24"/>
          <w:bdr w:val="none" w:sz="0" w:space="0" w:color="auto" w:frame="1"/>
          <w:lang w:val="fr-FR"/>
        </w:rPr>
        <w:t>Djiboutiennes</w:t>
      </w:r>
      <w:r w:rsidRPr="00493397">
        <w:rPr>
          <w:rFonts w:ascii="Times New Roman" w:eastAsia="Calibri" w:hAnsi="Times New Roman" w:cs="Times New Roman"/>
          <w:sz w:val="20"/>
          <w:szCs w:val="24"/>
          <w:bdr w:val="none" w:sz="0" w:space="0" w:color="auto" w:frame="1"/>
          <w:lang w:val="fr-FR"/>
        </w:rPr>
        <w:t xml:space="preserve"> et l’adoption d’une nouvelle approche pédagogique par les compétences. </w:t>
      </w:r>
    </w:p>
    <w:p w:rsidR="00D7624D" w:rsidRPr="00493397" w:rsidRDefault="00D7624D" w:rsidP="004933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before="120" w:after="120" w:line="288" w:lineRule="auto"/>
        <w:jc w:val="both"/>
        <w:rPr>
          <w:rFonts w:ascii="Times New Roman" w:eastAsia="Calibri" w:hAnsi="Times New Roman" w:cs="Times New Roman"/>
          <w:kern w:val="2"/>
          <w:sz w:val="20"/>
          <w:szCs w:val="24"/>
          <w:bdr w:val="none" w:sz="0" w:space="0" w:color="auto" w:frame="1"/>
          <w:lang w:val="fr-FR"/>
        </w:rPr>
      </w:pPr>
      <w:r w:rsidRPr="00493397">
        <w:rPr>
          <w:rFonts w:ascii="Times New Roman" w:eastAsia="Calibri" w:hAnsi="Times New Roman" w:cs="Times New Roman"/>
          <w:sz w:val="20"/>
          <w:szCs w:val="24"/>
          <w:bdr w:val="none" w:sz="0" w:space="0" w:color="auto" w:frame="1"/>
          <w:lang w:val="fr-FR"/>
        </w:rPr>
        <w:tab/>
        <w:t xml:space="preserve">Depuis quelques années, le Ministère de l'Education Nationale et de la Formation Professionnelle (désormais MENFOP) s’est engagé à relever le défi de la qualité qui demeure une préoccupation universellement partagée et une condition </w:t>
      </w:r>
      <w:r w:rsidRPr="00493397">
        <w:rPr>
          <w:rFonts w:ascii="Times New Roman" w:eastAsia="Calibri" w:hAnsi="Times New Roman" w:cs="Times New Roman"/>
          <w:i/>
          <w:iCs/>
          <w:sz w:val="20"/>
          <w:szCs w:val="24"/>
          <w:bdr w:val="none" w:sz="0" w:space="0" w:color="auto" w:frame="1"/>
          <w:lang w:val="fr-FR"/>
        </w:rPr>
        <w:t>sine qua non</w:t>
      </w:r>
      <w:r w:rsidRPr="00493397">
        <w:rPr>
          <w:rFonts w:ascii="Times New Roman" w:eastAsia="Calibri" w:hAnsi="Times New Roman" w:cs="Times New Roman"/>
          <w:sz w:val="20"/>
          <w:szCs w:val="24"/>
          <w:bdr w:val="none" w:sz="0" w:space="0" w:color="auto" w:frame="1"/>
          <w:lang w:val="fr-FR"/>
        </w:rPr>
        <w:t xml:space="preserve"> de l’efficacité de tout système éducatif.</w:t>
      </w:r>
    </w:p>
    <w:p w:rsidR="00D7624D" w:rsidRPr="00493397" w:rsidRDefault="00D7624D" w:rsidP="004933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before="120" w:after="120" w:line="288" w:lineRule="auto"/>
        <w:jc w:val="both"/>
        <w:rPr>
          <w:rFonts w:ascii="Times New Roman" w:eastAsia="Calibri" w:hAnsi="Times New Roman" w:cs="Times New Roman"/>
          <w:sz w:val="20"/>
          <w:szCs w:val="24"/>
          <w:bdr w:val="none" w:sz="0" w:space="0" w:color="auto" w:frame="1"/>
          <w:lang w:val="fr-FR"/>
        </w:rPr>
      </w:pPr>
      <w:r w:rsidRPr="00493397">
        <w:rPr>
          <w:rFonts w:ascii="Times New Roman" w:eastAsia="Calibri" w:hAnsi="Times New Roman" w:cs="Times New Roman"/>
          <w:kern w:val="2"/>
          <w:sz w:val="20"/>
          <w:szCs w:val="24"/>
          <w:bdr w:val="none" w:sz="0" w:space="0" w:color="auto" w:frame="1"/>
          <w:lang w:val="fr-FR"/>
        </w:rPr>
        <w:tab/>
      </w:r>
      <w:r w:rsidRPr="00493397">
        <w:rPr>
          <w:rFonts w:ascii="Times New Roman" w:eastAsia="Calibri" w:hAnsi="Times New Roman" w:cs="Times New Roman"/>
          <w:sz w:val="20"/>
          <w:szCs w:val="24"/>
          <w:bdr w:val="none" w:sz="0" w:space="0" w:color="auto" w:frame="1"/>
          <w:lang w:val="fr-FR"/>
        </w:rPr>
        <w:t xml:space="preserve">Pour ce faire, le MENFOP a organisé en novembre-décembre 2016, des consultations nationales et un Colloque, destinés à rechercher les voies et moyens susceptibles d’améliorer la qualité des enseignements-apprentissages. </w:t>
      </w:r>
    </w:p>
    <w:p w:rsidR="00D7624D" w:rsidRPr="00493397" w:rsidRDefault="00D7624D" w:rsidP="004933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before="120" w:after="120" w:line="288" w:lineRule="auto"/>
        <w:jc w:val="both"/>
        <w:rPr>
          <w:rFonts w:ascii="Times New Roman" w:eastAsia="Calibri" w:hAnsi="Times New Roman" w:cs="Times New Roman"/>
          <w:sz w:val="20"/>
          <w:szCs w:val="24"/>
          <w:bdr w:val="none" w:sz="0" w:space="0" w:color="auto" w:frame="1"/>
          <w:lang w:val="fr-FR"/>
        </w:rPr>
      </w:pPr>
      <w:r w:rsidRPr="00493397">
        <w:rPr>
          <w:rFonts w:ascii="Times New Roman" w:eastAsia="Calibri" w:hAnsi="Times New Roman" w:cs="Times New Roman"/>
          <w:sz w:val="20"/>
          <w:szCs w:val="24"/>
          <w:bdr w:val="none" w:sz="0" w:space="0" w:color="auto" w:frame="1"/>
          <w:lang w:val="fr-FR"/>
        </w:rPr>
        <w:tab/>
        <w:t>Ainsi, la décision de réviser les curricula de l'enseignement fondamental a fait suite aux besoins identifiés sur le terrain et aux attentes sociales confirmées et formalisées dans le cadre des Actes dudit Colloque. En effet, les différents états des lieux établis et les études menées, qu'elles soient internes ou externes, ont fait é</w:t>
      </w:r>
      <w:r w:rsidRPr="00493397">
        <w:rPr>
          <w:rFonts w:ascii="Times New Roman" w:eastAsia="Calibri" w:hAnsi="Times New Roman" w:cs="Times New Roman"/>
          <w:sz w:val="20"/>
          <w:szCs w:val="24"/>
          <w:bdr w:val="none" w:sz="0" w:space="0" w:color="auto" w:frame="1"/>
          <w:lang w:val="it-IT"/>
        </w:rPr>
        <w:t>merger l'int</w:t>
      </w:r>
      <w:r w:rsidR="00DB05FC" w:rsidRPr="00493397">
        <w:rPr>
          <w:rFonts w:ascii="Times New Roman" w:eastAsia="Calibri" w:hAnsi="Times New Roman" w:cs="Times New Roman"/>
          <w:sz w:val="20"/>
          <w:szCs w:val="24"/>
          <w:bdr w:val="none" w:sz="0" w:space="0" w:color="auto" w:frame="1"/>
          <w:lang w:val="it-IT"/>
        </w:rPr>
        <w:t xml:space="preserve">érêt </w:t>
      </w:r>
      <w:r w:rsidRPr="00493397">
        <w:rPr>
          <w:rFonts w:ascii="Times New Roman" w:eastAsia="Calibri" w:hAnsi="Times New Roman" w:cs="Times New Roman"/>
          <w:sz w:val="20"/>
          <w:szCs w:val="24"/>
          <w:bdr w:val="none" w:sz="0" w:space="0" w:color="auto" w:frame="1"/>
          <w:lang w:val="fr-FR"/>
        </w:rPr>
        <w:t>de conserver des contenus curriculaires estimés pertinents mais aussi des lacunes et des faiblesses qu'il importait de combler et de corriger par des ajustements, des compléments et des améliorations à apporter aux curricula de l'enseignement fondamental. Par ailleurs, cette initiative vise aussi à actualiser et à moderniser les programmes sur la base des tendances mondiales en matière de compétences (compétences de vie, compétences du 21e siècle).</w:t>
      </w:r>
    </w:p>
    <w:p w:rsidR="00D7624D" w:rsidRPr="00493397" w:rsidRDefault="00D7624D" w:rsidP="00493397">
      <w:pPr>
        <w:spacing w:before="120" w:after="120" w:line="288" w:lineRule="auto"/>
        <w:jc w:val="both"/>
        <w:rPr>
          <w:rFonts w:ascii="Times New Roman" w:eastAsia="Calibri" w:hAnsi="Times New Roman" w:cs="Times New Roman"/>
          <w:sz w:val="20"/>
          <w:szCs w:val="24"/>
          <w:bdr w:val="none" w:sz="0" w:space="0" w:color="auto" w:frame="1"/>
          <w:lang w:val="fr-FR"/>
        </w:rPr>
      </w:pPr>
      <w:r w:rsidRPr="00493397">
        <w:rPr>
          <w:rFonts w:ascii="Times New Roman" w:eastAsia="Calibri" w:hAnsi="Times New Roman" w:cs="Times New Roman"/>
          <w:sz w:val="20"/>
          <w:szCs w:val="24"/>
          <w:bdr w:val="none" w:sz="0" w:space="0" w:color="auto" w:frame="1"/>
          <w:lang w:val="fr-FR"/>
        </w:rPr>
        <w:tab/>
        <w:t>Parallèlement, un certain nombre d’actions ayant trait à la gestion axée sur les résultats à tous les niveaux du système éducatif, au renforcement de la formation initiale et continue, au suivi-encadrement, à l’évaluation des enseignants et des chefs d’établissements ont été engagées. Il convient aussi de souligner que les recommandations qui ont émané de l’atelier sur la politique nationale de formation continue qui s’est tenu en mars 2020 mettent principalement l’accent sur l’amélioration des pratiques professionnelles des enseignants de tout ordre confondu et la promotion de leur plan de carrière. Une ligne particulière dans les actes de cet atelier porte sur la diversification de l’offre de formation qui devra, de ce</w:t>
      </w:r>
      <w:r w:rsidR="00493397">
        <w:rPr>
          <w:rFonts w:ascii="Times New Roman" w:eastAsia="Calibri" w:hAnsi="Times New Roman" w:cs="Times New Roman"/>
          <w:sz w:val="20"/>
          <w:szCs w:val="24"/>
          <w:bdr w:val="none" w:sz="0" w:space="0" w:color="auto" w:frame="1"/>
          <w:lang w:val="fr-FR"/>
        </w:rPr>
        <w:t xml:space="preserve"> </w:t>
      </w:r>
      <w:r w:rsidRPr="00493397">
        <w:rPr>
          <w:rFonts w:ascii="Times New Roman" w:eastAsia="Calibri" w:hAnsi="Times New Roman" w:cs="Times New Roman"/>
          <w:sz w:val="20"/>
          <w:szCs w:val="24"/>
          <w:bdr w:val="none" w:sz="0" w:space="0" w:color="auto" w:frame="1"/>
          <w:lang w:val="fr-FR"/>
        </w:rPr>
        <w:t xml:space="preserve">fait, obligatoirement prendre en charge les enseignants des écoles privées. </w:t>
      </w:r>
    </w:p>
    <w:p w:rsidR="00D7624D" w:rsidRPr="00493397" w:rsidRDefault="00D7624D" w:rsidP="004933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before="120" w:after="120" w:line="288" w:lineRule="auto"/>
        <w:jc w:val="both"/>
        <w:rPr>
          <w:rFonts w:ascii="Times New Roman" w:eastAsia="Calibri" w:hAnsi="Times New Roman" w:cs="Times New Roman"/>
          <w:sz w:val="20"/>
          <w:szCs w:val="24"/>
          <w:bdr w:val="none" w:sz="0" w:space="0" w:color="auto" w:frame="1"/>
          <w:lang w:val="fr-FR"/>
        </w:rPr>
      </w:pPr>
      <w:r w:rsidRPr="00493397">
        <w:rPr>
          <w:rFonts w:ascii="Times New Roman" w:eastAsia="Calibri" w:hAnsi="Times New Roman" w:cs="Times New Roman"/>
          <w:sz w:val="20"/>
          <w:szCs w:val="24"/>
          <w:bdr w:val="none" w:sz="0" w:space="0" w:color="auto" w:frame="1"/>
          <w:lang w:val="fr-FR"/>
        </w:rPr>
        <w:tab/>
        <w:t>En outre, l’intégration des Technologies de l’Information et de la Communication au service de l’Education (TICE) aux curricula, aux évaluations, aux pratiques enseignantes, à la gestion des classes et des établissements scolaires ainsi qu’au pilotage du système éducatif dans son ensemble, constitue un levier majeur sur lequel le MENFOP compte renforcer son action.</w:t>
      </w:r>
    </w:p>
    <w:p w:rsidR="00D7624D" w:rsidRPr="00493397" w:rsidRDefault="00D7624D" w:rsidP="004933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5"/>
          <w:tab w:val="left" w:pos="8496"/>
          <w:tab w:val="left" w:pos="9132"/>
        </w:tabs>
        <w:spacing w:before="120" w:after="120" w:line="288" w:lineRule="auto"/>
        <w:jc w:val="both"/>
        <w:rPr>
          <w:rFonts w:ascii="Times New Roman" w:eastAsia="Calibri" w:hAnsi="Times New Roman" w:cs="Times New Roman"/>
          <w:sz w:val="20"/>
          <w:szCs w:val="24"/>
          <w:bdr w:val="none" w:sz="0" w:space="0" w:color="auto" w:frame="1"/>
          <w:lang w:val="fr-FR"/>
        </w:rPr>
      </w:pPr>
      <w:r w:rsidRPr="00493397">
        <w:rPr>
          <w:rFonts w:ascii="Times New Roman" w:eastAsia="Calibri" w:hAnsi="Times New Roman" w:cs="Times New Roman"/>
          <w:sz w:val="20"/>
          <w:szCs w:val="24"/>
          <w:bdr w:val="none" w:sz="0" w:space="0" w:color="auto" w:frame="1"/>
          <w:lang w:val="fr-FR"/>
        </w:rPr>
        <w:tab/>
        <w:t>Toutefois, et malgré les réalisations, le développement professionnel du personnel pédagogique, la gestion des établissements scolaires, la généralisation du préscolaire, l’intégration des TIC dans les enseignements-apprentissages et son utilisation pour un pilotage efficace et efficient du système éducatif demeurent des défis majeurs à relever par le MENFOP.</w:t>
      </w:r>
    </w:p>
    <w:p w:rsidR="00F0018F" w:rsidRPr="00493397" w:rsidRDefault="00F0018F" w:rsidP="004933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88" w:lineRule="auto"/>
        <w:ind w:firstLine="708"/>
        <w:jc w:val="both"/>
        <w:rPr>
          <w:rFonts w:ascii="Times New Roman" w:eastAsia="Calibri" w:hAnsi="Times New Roman" w:cs="Times New Roman"/>
          <w:sz w:val="20"/>
          <w:szCs w:val="24"/>
          <w:bdr w:val="none" w:sz="0" w:space="0" w:color="auto" w:frame="1"/>
          <w:lang w:val="fr-FR"/>
        </w:rPr>
      </w:pPr>
      <w:r w:rsidRPr="00493397">
        <w:rPr>
          <w:rFonts w:ascii="Times New Roman" w:eastAsia="Arial Unicode MS" w:hAnsi="Times New Roman" w:cs="Times New Roman"/>
          <w:sz w:val="20"/>
          <w:szCs w:val="24"/>
          <w:bdr w:val="none" w:sz="0" w:space="0" w:color="auto" w:frame="1"/>
          <w:lang w:val="fr-FR"/>
        </w:rPr>
        <w:t xml:space="preserve">C’est pourquoi le MENFOP a mis en place avec l’appui de la Banque Mondiale et le Partenariat Mondial pour l’Education (PME), un projet </w:t>
      </w:r>
      <w:r w:rsidRPr="00493397">
        <w:rPr>
          <w:rFonts w:ascii="Times New Roman" w:eastAsia="Calibri" w:hAnsi="Times New Roman" w:cs="Times New Roman"/>
          <w:sz w:val="20"/>
          <w:szCs w:val="24"/>
          <w:bdr w:val="none" w:sz="0" w:space="0" w:color="auto" w:frame="1"/>
          <w:lang w:val="fr-FR"/>
        </w:rPr>
        <w:t>porteur et novateur, le projet PRODA (Projet de</w:t>
      </w:r>
      <w:r w:rsidRPr="00493397">
        <w:rPr>
          <w:rFonts w:ascii="Times New Roman" w:eastAsia="Times New Roman" w:hAnsi="Times New Roman" w:cs="Times New Roman"/>
          <w:sz w:val="20"/>
          <w:szCs w:val="24"/>
          <w:lang w:val="fr-FR"/>
        </w:rPr>
        <w:t xml:space="preserve">Renforcement </w:t>
      </w:r>
      <w:r w:rsidRPr="00493397">
        <w:rPr>
          <w:rFonts w:ascii="Times New Roman" w:eastAsia="Times New Roman" w:hAnsi="Times New Roman" w:cs="Times New Roman"/>
          <w:color w:val="000000"/>
          <w:sz w:val="20"/>
          <w:szCs w:val="24"/>
          <w:lang w:val="fr-FR"/>
        </w:rPr>
        <w:t xml:space="preserve">des </w:t>
      </w:r>
      <w:r w:rsidRPr="00493397">
        <w:rPr>
          <w:rFonts w:ascii="Times New Roman" w:eastAsia="Times New Roman" w:hAnsi="Times New Roman" w:cs="Times New Roman"/>
          <w:sz w:val="20"/>
          <w:szCs w:val="24"/>
          <w:lang w:val="fr-FR"/>
        </w:rPr>
        <w:t>Opportunités d’Apprentissage)</w:t>
      </w:r>
      <w:r w:rsidR="00981511" w:rsidRPr="00493397">
        <w:rPr>
          <w:rFonts w:ascii="Times New Roman" w:eastAsia="Times New Roman" w:hAnsi="Times New Roman" w:cs="Times New Roman"/>
          <w:sz w:val="20"/>
          <w:szCs w:val="24"/>
          <w:lang w:val="fr-FR"/>
        </w:rPr>
        <w:t xml:space="preserve">. </w:t>
      </w:r>
      <w:r w:rsidR="00981511" w:rsidRPr="00493397">
        <w:rPr>
          <w:rFonts w:ascii="Times New Roman" w:eastAsia="Calibri" w:hAnsi="Times New Roman" w:cs="Times New Roman"/>
          <w:sz w:val="20"/>
          <w:szCs w:val="24"/>
          <w:bdr w:val="none" w:sz="0" w:space="0" w:color="auto" w:frame="1"/>
          <w:lang w:val="fr-FR"/>
        </w:rPr>
        <w:t xml:space="preserve">Ce projet consiste à accroître l’accès équitable à l’enseignement fondamental (enseignement de </w:t>
      </w:r>
      <w:r w:rsidR="00981511" w:rsidRPr="00493397">
        <w:rPr>
          <w:rFonts w:ascii="Times New Roman" w:eastAsia="Calibri" w:hAnsi="Times New Roman" w:cs="Times New Roman"/>
          <w:sz w:val="20"/>
          <w:szCs w:val="24"/>
          <w:bdr w:val="none" w:sz="0" w:space="0" w:color="auto" w:frame="1"/>
          <w:lang w:val="fr-FR"/>
        </w:rPr>
        <w:lastRenderedPageBreak/>
        <w:t>base et Moyen), améliorer la qualité de l’enseignement</w:t>
      </w:r>
      <w:r w:rsidR="002D3CFE" w:rsidRPr="00493397">
        <w:rPr>
          <w:rFonts w:ascii="Times New Roman" w:eastAsia="Calibri" w:hAnsi="Times New Roman" w:cs="Times New Roman"/>
          <w:sz w:val="20"/>
          <w:szCs w:val="24"/>
          <w:bdr w:val="none" w:sz="0" w:space="0" w:color="auto" w:frame="1"/>
          <w:lang w:val="fr-FR"/>
        </w:rPr>
        <w:t xml:space="preserve"> et les pratiques de classe</w:t>
      </w:r>
      <w:r w:rsidR="00981511" w:rsidRPr="00493397">
        <w:rPr>
          <w:rFonts w:ascii="Times New Roman" w:eastAsia="Calibri" w:hAnsi="Times New Roman" w:cs="Times New Roman"/>
          <w:sz w:val="20"/>
          <w:szCs w:val="24"/>
          <w:bdr w:val="none" w:sz="0" w:space="0" w:color="auto" w:frame="1"/>
          <w:lang w:val="fr-FR"/>
        </w:rPr>
        <w:t xml:space="preserve"> et renforcer les capacités de gestion du Ministère de l’Éducation Nationale et de la Formation Professionnelle.</w:t>
      </w:r>
    </w:p>
    <w:p w:rsidR="003B64DF" w:rsidRPr="00493397" w:rsidRDefault="003B64DF" w:rsidP="004933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88" w:lineRule="auto"/>
        <w:ind w:firstLine="708"/>
        <w:jc w:val="both"/>
        <w:rPr>
          <w:rFonts w:ascii="Times New Roman" w:eastAsia="Calibri" w:hAnsi="Times New Roman" w:cs="Times New Roman"/>
          <w:sz w:val="20"/>
          <w:szCs w:val="24"/>
          <w:bdr w:val="none" w:sz="0" w:space="0" w:color="auto" w:frame="1"/>
          <w:lang w:val="fr-FR"/>
        </w:rPr>
      </w:pPr>
      <w:r w:rsidRPr="00493397">
        <w:rPr>
          <w:rFonts w:ascii="Times New Roman" w:eastAsia="Calibri" w:hAnsi="Times New Roman" w:cs="Times New Roman"/>
          <w:sz w:val="20"/>
          <w:szCs w:val="24"/>
          <w:bdr w:val="none" w:sz="0" w:space="0" w:color="auto" w:frame="1"/>
          <w:lang w:val="fr-FR"/>
        </w:rPr>
        <w:t xml:space="preserve">Ce projet possède </w:t>
      </w:r>
      <w:r w:rsidR="002D3CFE" w:rsidRPr="00493397">
        <w:rPr>
          <w:rFonts w:ascii="Times New Roman" w:eastAsia="Calibri" w:hAnsi="Times New Roman" w:cs="Times New Roman"/>
          <w:sz w:val="20"/>
          <w:szCs w:val="24"/>
          <w:bdr w:val="none" w:sz="0" w:space="0" w:color="auto" w:frame="1"/>
          <w:lang w:val="fr-FR"/>
        </w:rPr>
        <w:t xml:space="preserve">une part de financement dont le décaissement est lié aux résultats. Dans ce cadre, </w:t>
      </w:r>
      <w:r w:rsidR="000A1BC4" w:rsidRPr="00493397">
        <w:rPr>
          <w:rFonts w:ascii="Times New Roman" w:eastAsia="Calibri" w:hAnsi="Times New Roman" w:cs="Times New Roman"/>
          <w:sz w:val="20"/>
          <w:szCs w:val="24"/>
          <w:bdr w:val="none" w:sz="0" w:space="0" w:color="auto" w:frame="1"/>
          <w:lang w:val="fr-FR"/>
        </w:rPr>
        <w:t>il est prévu de recruter une Agence Indépendante de Vérification (AIV) afin de permettre leurs validations et entraîner les décaissements inhérents.</w:t>
      </w:r>
    </w:p>
    <w:p w:rsidR="002807DA" w:rsidRPr="00493397" w:rsidRDefault="002807DA" w:rsidP="00493397">
      <w:pPr>
        <w:pStyle w:val="Paragraphedeliste"/>
        <w:numPr>
          <w:ilvl w:val="0"/>
          <w:numId w:val="2"/>
        </w:numPr>
        <w:spacing w:before="240" w:after="240"/>
        <w:ind w:left="714" w:hanging="357"/>
        <w:contextualSpacing w:val="0"/>
        <w:rPr>
          <w:b/>
          <w:sz w:val="24"/>
          <w:szCs w:val="28"/>
          <w:u w:val="single"/>
          <w:lang w:val="fr-FR"/>
        </w:rPr>
      </w:pPr>
      <w:r w:rsidRPr="00493397">
        <w:rPr>
          <w:b/>
          <w:bCs/>
          <w:sz w:val="24"/>
          <w:szCs w:val="28"/>
          <w:u w:val="single"/>
          <w:lang w:val="fr-FR"/>
        </w:rPr>
        <w:t>O</w:t>
      </w:r>
      <w:r w:rsidR="0087073C" w:rsidRPr="00493397">
        <w:rPr>
          <w:b/>
          <w:bCs/>
          <w:sz w:val="24"/>
          <w:szCs w:val="28"/>
          <w:u w:val="single"/>
          <w:lang w:val="fr-FR"/>
        </w:rPr>
        <w:t xml:space="preserve">bjectifs généraux </w:t>
      </w:r>
    </w:p>
    <w:p w:rsidR="00493397" w:rsidRPr="00493397" w:rsidRDefault="002807DA" w:rsidP="00493397">
      <w:pPr>
        <w:spacing w:before="120" w:after="120" w:line="288" w:lineRule="auto"/>
        <w:jc w:val="both"/>
        <w:rPr>
          <w:rFonts w:ascii="Times New Roman" w:hAnsi="Times New Roman" w:cs="Times New Roman"/>
          <w:sz w:val="20"/>
          <w:szCs w:val="24"/>
          <w:lang w:val="fr-FR"/>
        </w:rPr>
      </w:pPr>
      <w:r w:rsidRPr="00493397">
        <w:rPr>
          <w:rFonts w:ascii="Times New Roman" w:hAnsi="Times New Roman" w:cs="Times New Roman"/>
          <w:sz w:val="20"/>
          <w:szCs w:val="24"/>
          <w:lang w:val="fr-FR"/>
        </w:rPr>
        <w:t>L’A</w:t>
      </w:r>
      <w:r w:rsidR="00CE657F" w:rsidRPr="00493397">
        <w:rPr>
          <w:rFonts w:ascii="Times New Roman" w:hAnsi="Times New Roman" w:cs="Times New Roman"/>
          <w:sz w:val="20"/>
          <w:szCs w:val="24"/>
          <w:lang w:val="fr-FR"/>
        </w:rPr>
        <w:t xml:space="preserve">gence de </w:t>
      </w:r>
      <w:r w:rsidRPr="00493397">
        <w:rPr>
          <w:rFonts w:ascii="Times New Roman" w:hAnsi="Times New Roman" w:cs="Times New Roman"/>
          <w:sz w:val="20"/>
          <w:szCs w:val="24"/>
          <w:lang w:val="fr-FR"/>
        </w:rPr>
        <w:t>V</w:t>
      </w:r>
      <w:r w:rsidR="00CE657F" w:rsidRPr="00493397">
        <w:rPr>
          <w:rFonts w:ascii="Times New Roman" w:hAnsi="Times New Roman" w:cs="Times New Roman"/>
          <w:sz w:val="20"/>
          <w:szCs w:val="24"/>
          <w:lang w:val="fr-FR"/>
        </w:rPr>
        <w:t>érification</w:t>
      </w:r>
      <w:r w:rsidR="00493397" w:rsidRPr="00493397">
        <w:rPr>
          <w:rFonts w:ascii="Times New Roman" w:hAnsi="Times New Roman" w:cs="Times New Roman"/>
          <w:sz w:val="20"/>
          <w:szCs w:val="24"/>
          <w:lang w:val="fr-FR"/>
        </w:rPr>
        <w:t xml:space="preserve"> </w:t>
      </w:r>
      <w:r w:rsidR="0087073C" w:rsidRPr="00493397">
        <w:rPr>
          <w:rFonts w:ascii="Times New Roman" w:hAnsi="Times New Roman" w:cs="Times New Roman"/>
          <w:sz w:val="20"/>
          <w:szCs w:val="24"/>
          <w:lang w:val="fr-FR"/>
        </w:rPr>
        <w:t>est composée d’</w:t>
      </w:r>
      <w:r w:rsidRPr="00493397">
        <w:rPr>
          <w:rFonts w:ascii="Times New Roman" w:hAnsi="Times New Roman" w:cs="Times New Roman"/>
          <w:sz w:val="20"/>
          <w:szCs w:val="24"/>
          <w:lang w:val="fr-FR"/>
        </w:rPr>
        <w:t xml:space="preserve">experts </w:t>
      </w:r>
      <w:r w:rsidR="0087073C" w:rsidRPr="00493397">
        <w:rPr>
          <w:rFonts w:ascii="Times New Roman" w:hAnsi="Times New Roman" w:cs="Times New Roman"/>
          <w:sz w:val="20"/>
          <w:szCs w:val="24"/>
          <w:lang w:val="fr-FR"/>
        </w:rPr>
        <w:t xml:space="preserve">indépendants </w:t>
      </w:r>
      <w:r w:rsidRPr="00493397">
        <w:rPr>
          <w:rFonts w:ascii="Times New Roman" w:hAnsi="Times New Roman" w:cs="Times New Roman"/>
          <w:sz w:val="20"/>
          <w:szCs w:val="24"/>
          <w:lang w:val="fr-FR"/>
        </w:rPr>
        <w:t xml:space="preserve">recrutés </w:t>
      </w:r>
      <w:r w:rsidR="0087073C" w:rsidRPr="00493397">
        <w:rPr>
          <w:rFonts w:ascii="Times New Roman" w:hAnsi="Times New Roman" w:cs="Times New Roman"/>
          <w:sz w:val="20"/>
          <w:szCs w:val="24"/>
          <w:lang w:val="fr-FR"/>
        </w:rPr>
        <w:t>dans la cadre du projet PRODA</w:t>
      </w:r>
      <w:r w:rsidR="00F95F6E" w:rsidRPr="00493397">
        <w:rPr>
          <w:rFonts w:ascii="Times New Roman" w:hAnsi="Times New Roman" w:cs="Times New Roman"/>
          <w:sz w:val="20"/>
          <w:szCs w:val="24"/>
          <w:lang w:val="fr-FR"/>
        </w:rPr>
        <w:t xml:space="preserve"> pour une durée de </w:t>
      </w:r>
      <w:r w:rsidR="007F47BF" w:rsidRPr="00493397">
        <w:rPr>
          <w:rFonts w:ascii="Times New Roman" w:hAnsi="Times New Roman" w:cs="Times New Roman"/>
          <w:sz w:val="20"/>
          <w:szCs w:val="24"/>
          <w:lang w:val="fr-FR"/>
        </w:rPr>
        <w:t>deux</w:t>
      </w:r>
      <w:r w:rsidR="00F95F6E" w:rsidRPr="00493397">
        <w:rPr>
          <w:rFonts w:ascii="Times New Roman" w:hAnsi="Times New Roman" w:cs="Times New Roman"/>
          <w:sz w:val="20"/>
          <w:szCs w:val="24"/>
          <w:lang w:val="fr-FR"/>
        </w:rPr>
        <w:t xml:space="preserve"> (</w:t>
      </w:r>
      <w:r w:rsidR="007F47BF" w:rsidRPr="00493397">
        <w:rPr>
          <w:rFonts w:ascii="Times New Roman" w:hAnsi="Times New Roman" w:cs="Times New Roman"/>
          <w:sz w:val="20"/>
          <w:szCs w:val="24"/>
          <w:lang w:val="fr-FR"/>
        </w:rPr>
        <w:t>2</w:t>
      </w:r>
      <w:r w:rsidR="00F95F6E" w:rsidRPr="00493397">
        <w:rPr>
          <w:rFonts w:ascii="Times New Roman" w:hAnsi="Times New Roman" w:cs="Times New Roman"/>
          <w:sz w:val="20"/>
          <w:szCs w:val="24"/>
          <w:lang w:val="fr-FR"/>
        </w:rPr>
        <w:t xml:space="preserve">) ans, </w:t>
      </w:r>
      <w:r w:rsidR="0087073C" w:rsidRPr="00493397">
        <w:rPr>
          <w:rFonts w:ascii="Times New Roman" w:hAnsi="Times New Roman" w:cs="Times New Roman"/>
          <w:sz w:val="20"/>
          <w:szCs w:val="24"/>
          <w:lang w:val="fr-FR"/>
        </w:rPr>
        <w:t>pour assurer la vérification de l’atteinte des</w:t>
      </w:r>
      <w:r w:rsidR="007F47BF" w:rsidRPr="00493397">
        <w:rPr>
          <w:rFonts w:ascii="Times New Roman" w:hAnsi="Times New Roman" w:cs="Times New Roman"/>
          <w:sz w:val="20"/>
          <w:szCs w:val="24"/>
          <w:lang w:val="fr-FR"/>
        </w:rPr>
        <w:t xml:space="preserve"> conditions basées sur la performance (CBP)</w:t>
      </w:r>
      <w:r w:rsidR="002E2E57" w:rsidRPr="00493397">
        <w:rPr>
          <w:rFonts w:ascii="Times New Roman" w:hAnsi="Times New Roman" w:cs="Times New Roman"/>
          <w:sz w:val="20"/>
          <w:szCs w:val="24"/>
          <w:lang w:val="fr-FR"/>
        </w:rPr>
        <w:t xml:space="preserve"> qui correspondent aux</w:t>
      </w:r>
      <w:r w:rsidR="00493397" w:rsidRPr="00493397">
        <w:rPr>
          <w:rFonts w:ascii="Times New Roman" w:hAnsi="Times New Roman" w:cs="Times New Roman"/>
          <w:sz w:val="20"/>
          <w:szCs w:val="24"/>
          <w:lang w:val="fr-FR"/>
        </w:rPr>
        <w:t xml:space="preserve"> </w:t>
      </w:r>
      <w:r w:rsidR="002E2E57" w:rsidRPr="00493397">
        <w:rPr>
          <w:rFonts w:ascii="Times New Roman" w:eastAsia="Times New Roman" w:hAnsi="Times New Roman" w:cs="Times New Roman"/>
          <w:color w:val="202124"/>
          <w:sz w:val="20"/>
          <w:szCs w:val="24"/>
          <w:lang w:val="fr-FR"/>
        </w:rPr>
        <w:t>indicateurs</w:t>
      </w:r>
      <w:r w:rsidR="0087073C" w:rsidRPr="00493397">
        <w:rPr>
          <w:rFonts w:ascii="Times New Roman" w:hAnsi="Times New Roman" w:cs="Times New Roman"/>
          <w:sz w:val="20"/>
          <w:szCs w:val="24"/>
          <w:lang w:val="fr-FR"/>
        </w:rPr>
        <w:t xml:space="preserve"> liés aux </w:t>
      </w:r>
      <w:r w:rsidR="00105150" w:rsidRPr="00493397">
        <w:rPr>
          <w:rFonts w:ascii="Times New Roman" w:eastAsia="Times New Roman" w:hAnsi="Times New Roman" w:cs="Times New Roman"/>
          <w:color w:val="202124"/>
          <w:sz w:val="20"/>
          <w:szCs w:val="24"/>
          <w:lang w:val="fr-FR"/>
        </w:rPr>
        <w:t>décaissement (</w:t>
      </w:r>
      <w:r w:rsidR="0087073C" w:rsidRPr="00493397">
        <w:rPr>
          <w:rFonts w:ascii="Times New Roman" w:hAnsi="Times New Roman" w:cs="Times New Roman"/>
          <w:sz w:val="20"/>
          <w:szCs w:val="24"/>
          <w:lang w:val="fr-FR"/>
        </w:rPr>
        <w:t>ILD</w:t>
      </w:r>
      <w:r w:rsidR="002E2E57" w:rsidRPr="00493397">
        <w:rPr>
          <w:rFonts w:ascii="Times New Roman" w:hAnsi="Times New Roman" w:cs="Times New Roman"/>
          <w:sz w:val="20"/>
          <w:szCs w:val="24"/>
          <w:lang w:val="fr-FR"/>
        </w:rPr>
        <w:t>s</w:t>
      </w:r>
      <w:r w:rsidR="00105150" w:rsidRPr="00493397">
        <w:rPr>
          <w:rFonts w:ascii="Times New Roman" w:hAnsi="Times New Roman" w:cs="Times New Roman"/>
          <w:sz w:val="20"/>
          <w:szCs w:val="24"/>
          <w:lang w:val="fr-FR"/>
        </w:rPr>
        <w:t>)</w:t>
      </w:r>
      <w:r w:rsidR="0087073C" w:rsidRPr="00493397">
        <w:rPr>
          <w:rFonts w:ascii="Times New Roman" w:hAnsi="Times New Roman" w:cs="Times New Roman"/>
          <w:sz w:val="20"/>
          <w:szCs w:val="24"/>
          <w:lang w:val="fr-FR"/>
        </w:rPr>
        <w:t xml:space="preserve">, </w:t>
      </w:r>
      <w:r w:rsidRPr="00493397">
        <w:rPr>
          <w:rFonts w:ascii="Times New Roman" w:hAnsi="Times New Roman" w:cs="Times New Roman"/>
          <w:sz w:val="20"/>
          <w:szCs w:val="24"/>
          <w:lang w:val="fr-FR"/>
        </w:rPr>
        <w:t>sur la base de l’analyse de l’information suivie et reportée en utilisant les systèmes gouvernementaux existants, et à travers une analyse sur pièce</w:t>
      </w:r>
      <w:r w:rsidR="00F30FAA" w:rsidRPr="00493397">
        <w:rPr>
          <w:rFonts w:ascii="Times New Roman" w:hAnsi="Times New Roman" w:cs="Times New Roman"/>
          <w:sz w:val="20"/>
          <w:szCs w:val="24"/>
          <w:lang w:val="fr-FR"/>
        </w:rPr>
        <w:t xml:space="preserve">, </w:t>
      </w:r>
      <w:r w:rsidRPr="00493397">
        <w:rPr>
          <w:rFonts w:ascii="Times New Roman" w:hAnsi="Times New Roman" w:cs="Times New Roman"/>
          <w:sz w:val="20"/>
          <w:szCs w:val="24"/>
          <w:lang w:val="fr-FR"/>
        </w:rPr>
        <w:t xml:space="preserve">sur place </w:t>
      </w:r>
      <w:r w:rsidR="00F30FAA" w:rsidRPr="00493397">
        <w:rPr>
          <w:rFonts w:ascii="Times New Roman" w:hAnsi="Times New Roman" w:cs="Times New Roman"/>
          <w:sz w:val="20"/>
          <w:szCs w:val="24"/>
          <w:lang w:val="fr-FR"/>
        </w:rPr>
        <w:t xml:space="preserve">et sur terrain </w:t>
      </w:r>
      <w:r w:rsidRPr="00493397">
        <w:rPr>
          <w:rFonts w:ascii="Times New Roman" w:hAnsi="Times New Roman" w:cs="Times New Roman"/>
          <w:sz w:val="20"/>
          <w:szCs w:val="24"/>
          <w:lang w:val="fr-FR"/>
        </w:rPr>
        <w:t>(lorsque pertinent), démontrant la fiabilité des systèmes d’information lorsque nécessaire</w:t>
      </w:r>
      <w:r w:rsidR="00392B6E" w:rsidRPr="00493397">
        <w:rPr>
          <w:rFonts w:ascii="Times New Roman" w:hAnsi="Times New Roman" w:cs="Times New Roman"/>
          <w:sz w:val="20"/>
          <w:szCs w:val="24"/>
          <w:lang w:val="fr-FR"/>
        </w:rPr>
        <w:t xml:space="preserve">. </w:t>
      </w:r>
    </w:p>
    <w:p w:rsidR="00493397" w:rsidRPr="00493397" w:rsidRDefault="00105150" w:rsidP="00493397">
      <w:pPr>
        <w:spacing w:before="120" w:after="120" w:line="288" w:lineRule="auto"/>
        <w:jc w:val="both"/>
        <w:rPr>
          <w:rFonts w:ascii="Times New Roman" w:eastAsia="Times New Roman" w:hAnsi="Times New Roman" w:cs="Times New Roman"/>
          <w:color w:val="202124"/>
          <w:sz w:val="20"/>
          <w:szCs w:val="24"/>
          <w:lang w:val="fr-FR"/>
        </w:rPr>
      </w:pPr>
      <w:r w:rsidRPr="00493397">
        <w:rPr>
          <w:rFonts w:ascii="Times New Roman" w:eastAsia="Times New Roman" w:hAnsi="Times New Roman" w:cs="Times New Roman"/>
          <w:color w:val="202124"/>
          <w:sz w:val="20"/>
          <w:szCs w:val="24"/>
          <w:lang w:val="fr-FR"/>
        </w:rPr>
        <w:t>L'objectif est de vérifier que les résultats sont obtenus, conformément à la méthodologie convenue, comme indiqué dans une matrice</w:t>
      </w:r>
      <w:r w:rsidR="00493397" w:rsidRPr="00493397">
        <w:rPr>
          <w:rFonts w:ascii="Times New Roman" w:eastAsia="Times New Roman" w:hAnsi="Times New Roman" w:cs="Times New Roman"/>
          <w:color w:val="202124"/>
          <w:sz w:val="20"/>
          <w:szCs w:val="24"/>
          <w:lang w:val="fr-FR"/>
        </w:rPr>
        <w:t xml:space="preserve"> </w:t>
      </w:r>
      <w:r w:rsidR="002E2E57" w:rsidRPr="00493397">
        <w:rPr>
          <w:rFonts w:ascii="Times New Roman" w:eastAsia="Times New Roman" w:hAnsi="Times New Roman" w:cs="Times New Roman"/>
          <w:color w:val="202124"/>
          <w:sz w:val="20"/>
          <w:szCs w:val="24"/>
          <w:lang w:val="fr-FR"/>
        </w:rPr>
        <w:t xml:space="preserve">des indicateurs </w:t>
      </w:r>
      <w:r w:rsidRPr="00493397">
        <w:rPr>
          <w:rFonts w:ascii="Times New Roman" w:eastAsia="Times New Roman" w:hAnsi="Times New Roman" w:cs="Times New Roman"/>
          <w:color w:val="202124"/>
          <w:sz w:val="20"/>
          <w:szCs w:val="24"/>
          <w:lang w:val="fr-FR"/>
        </w:rPr>
        <w:t xml:space="preserve">(voir le </w:t>
      </w:r>
      <w:r w:rsidR="006A6086" w:rsidRPr="00493397">
        <w:rPr>
          <w:rFonts w:ascii="Times New Roman" w:eastAsia="Times New Roman" w:hAnsi="Times New Roman" w:cs="Times New Roman"/>
          <w:color w:val="202124"/>
          <w:sz w:val="20"/>
          <w:szCs w:val="24"/>
          <w:lang w:val="fr-FR"/>
        </w:rPr>
        <w:t xml:space="preserve">Manuel de Project et PAD - </w:t>
      </w:r>
      <w:r w:rsidRPr="00493397">
        <w:rPr>
          <w:rFonts w:ascii="Times New Roman" w:eastAsia="Times New Roman" w:hAnsi="Times New Roman" w:cs="Times New Roman"/>
          <w:color w:val="202124"/>
          <w:sz w:val="20"/>
          <w:szCs w:val="24"/>
          <w:lang w:val="fr-FR"/>
        </w:rPr>
        <w:t xml:space="preserve">document d'évaluation du programme) </w:t>
      </w:r>
      <w:r w:rsidR="002E2E57" w:rsidRPr="00493397">
        <w:rPr>
          <w:rFonts w:ascii="Times New Roman" w:eastAsia="Times New Roman" w:hAnsi="Times New Roman" w:cs="Times New Roman"/>
          <w:color w:val="202124"/>
          <w:sz w:val="20"/>
          <w:szCs w:val="24"/>
          <w:lang w:val="fr-FR"/>
        </w:rPr>
        <w:t xml:space="preserve">notamment les CBPs restant à vérifier qui sont au nombre de </w:t>
      </w:r>
      <w:r w:rsidR="002E2E57" w:rsidRPr="00493397">
        <w:rPr>
          <w:rFonts w:ascii="Times New Roman" w:eastAsia="Times New Roman" w:hAnsi="Times New Roman" w:cs="Times New Roman"/>
          <w:b/>
          <w:color w:val="202124"/>
          <w:sz w:val="20"/>
          <w:szCs w:val="24"/>
          <w:lang w:val="fr-FR"/>
        </w:rPr>
        <w:t>3 indicateurs</w:t>
      </w:r>
      <w:r w:rsidRPr="00493397">
        <w:rPr>
          <w:rFonts w:ascii="Times New Roman" w:eastAsia="Times New Roman" w:hAnsi="Times New Roman" w:cs="Times New Roman"/>
          <w:color w:val="202124"/>
          <w:sz w:val="20"/>
          <w:szCs w:val="24"/>
          <w:lang w:val="fr-FR"/>
        </w:rPr>
        <w:t xml:space="preserve">. </w:t>
      </w:r>
    </w:p>
    <w:p w:rsidR="00493397" w:rsidRPr="00493397" w:rsidRDefault="00105150" w:rsidP="00493397">
      <w:pPr>
        <w:spacing w:before="120" w:after="120" w:line="288" w:lineRule="auto"/>
        <w:jc w:val="both"/>
        <w:rPr>
          <w:rFonts w:ascii="Times New Roman" w:eastAsia="Times New Roman" w:hAnsi="Times New Roman" w:cs="Times New Roman"/>
          <w:color w:val="202124"/>
          <w:sz w:val="20"/>
          <w:szCs w:val="24"/>
          <w:lang w:val="fr-FR"/>
        </w:rPr>
      </w:pPr>
      <w:r w:rsidRPr="00493397">
        <w:rPr>
          <w:rFonts w:ascii="Times New Roman" w:eastAsia="Times New Roman" w:hAnsi="Times New Roman" w:cs="Times New Roman"/>
          <w:color w:val="202124"/>
          <w:sz w:val="20"/>
          <w:szCs w:val="24"/>
          <w:lang w:val="fr-FR"/>
        </w:rPr>
        <w:t>Les résultats seront vérifiés au moyen de registres</w:t>
      </w:r>
      <w:r w:rsidR="001F6487" w:rsidRPr="00493397">
        <w:rPr>
          <w:rFonts w:ascii="Times New Roman" w:eastAsia="Times New Roman" w:hAnsi="Times New Roman" w:cs="Times New Roman"/>
          <w:color w:val="202124"/>
          <w:sz w:val="20"/>
          <w:szCs w:val="24"/>
          <w:lang w:val="fr-FR"/>
        </w:rPr>
        <w:t>, des rapports</w:t>
      </w:r>
      <w:r w:rsidRPr="00493397">
        <w:rPr>
          <w:rFonts w:ascii="Times New Roman" w:eastAsia="Times New Roman" w:hAnsi="Times New Roman" w:cs="Times New Roman"/>
          <w:color w:val="202124"/>
          <w:sz w:val="20"/>
          <w:szCs w:val="24"/>
          <w:lang w:val="fr-FR"/>
        </w:rPr>
        <w:t xml:space="preserve"> et de documents administratifs, de vérifications indépendantes, de visites de sites et de contrôles ponctuels dans des écoles sélectionnées au hasard et de consultations avec les bénéficiaires et les partenaires pour confirmer les données soumises et tester l'exactitude des résultats revendiqués. </w:t>
      </w:r>
    </w:p>
    <w:p w:rsidR="00105150" w:rsidRPr="00493397" w:rsidRDefault="00105150" w:rsidP="00493397">
      <w:pPr>
        <w:spacing w:before="120" w:after="120" w:line="288" w:lineRule="auto"/>
        <w:jc w:val="both"/>
        <w:rPr>
          <w:rFonts w:ascii="Times New Roman" w:hAnsi="Times New Roman" w:cs="Times New Roman"/>
          <w:sz w:val="20"/>
          <w:szCs w:val="24"/>
          <w:lang w:val="fr-FR"/>
        </w:rPr>
      </w:pPr>
      <w:r w:rsidRPr="00493397">
        <w:rPr>
          <w:rFonts w:ascii="Times New Roman" w:eastAsia="Times New Roman" w:hAnsi="Times New Roman" w:cs="Times New Roman"/>
          <w:color w:val="202124"/>
          <w:sz w:val="20"/>
          <w:szCs w:val="24"/>
          <w:lang w:val="fr-FR"/>
        </w:rPr>
        <w:t>Conformément aux bonnes pratiques d'audit, la vérification sera effectuée par rapport à un cadre et à une fréquence d'échantillonnage, décrits en détail dans la demande de proposition.</w:t>
      </w:r>
    </w:p>
    <w:p w:rsidR="0087073C" w:rsidRPr="00493397" w:rsidRDefault="0087073C" w:rsidP="00493397">
      <w:pPr>
        <w:pStyle w:val="Paragraphedeliste"/>
        <w:numPr>
          <w:ilvl w:val="0"/>
          <w:numId w:val="2"/>
        </w:numPr>
        <w:spacing w:before="240" w:after="240"/>
        <w:ind w:left="714" w:hanging="357"/>
        <w:contextualSpacing w:val="0"/>
        <w:rPr>
          <w:b/>
          <w:bCs/>
          <w:sz w:val="24"/>
          <w:szCs w:val="28"/>
          <w:u w:val="single"/>
          <w:lang w:val="fr-FR"/>
        </w:rPr>
      </w:pPr>
      <w:r w:rsidRPr="00493397">
        <w:rPr>
          <w:b/>
          <w:bCs/>
          <w:sz w:val="24"/>
          <w:szCs w:val="28"/>
          <w:u w:val="single"/>
          <w:lang w:val="fr-FR"/>
        </w:rPr>
        <w:t xml:space="preserve">Missions </w:t>
      </w:r>
      <w:r w:rsidR="00475459" w:rsidRPr="00493397">
        <w:rPr>
          <w:b/>
          <w:bCs/>
          <w:sz w:val="24"/>
          <w:szCs w:val="28"/>
          <w:u w:val="single"/>
          <w:lang w:val="fr-FR"/>
        </w:rPr>
        <w:t xml:space="preserve">de l’Agence </w:t>
      </w:r>
      <w:r w:rsidR="002F17FD" w:rsidRPr="00493397">
        <w:rPr>
          <w:b/>
          <w:bCs/>
          <w:sz w:val="24"/>
          <w:szCs w:val="28"/>
          <w:u w:val="single"/>
          <w:lang w:val="fr-FR"/>
        </w:rPr>
        <w:t>Principales t</w:t>
      </w:r>
      <w:r w:rsidR="00493397">
        <w:rPr>
          <w:b/>
          <w:bCs/>
          <w:sz w:val="24"/>
          <w:szCs w:val="28"/>
          <w:u w:val="single"/>
          <w:lang w:val="fr-FR"/>
        </w:rPr>
        <w:t>â</w:t>
      </w:r>
      <w:r w:rsidR="002F17FD" w:rsidRPr="00493397">
        <w:rPr>
          <w:b/>
          <w:bCs/>
          <w:sz w:val="24"/>
          <w:szCs w:val="28"/>
          <w:u w:val="single"/>
          <w:lang w:val="fr-FR"/>
        </w:rPr>
        <w:t>ches</w:t>
      </w:r>
      <w:r w:rsidR="00C024FF" w:rsidRPr="00493397">
        <w:rPr>
          <w:b/>
          <w:bCs/>
          <w:sz w:val="24"/>
          <w:szCs w:val="28"/>
          <w:u w:val="single"/>
          <w:lang w:val="fr-FR"/>
        </w:rPr>
        <w:t xml:space="preserve"> de l’Agence</w:t>
      </w:r>
    </w:p>
    <w:p w:rsidR="00B75790" w:rsidRPr="00493397" w:rsidRDefault="00676B5D" w:rsidP="00493397">
      <w:pPr>
        <w:spacing w:before="120" w:after="120" w:line="288" w:lineRule="auto"/>
        <w:rPr>
          <w:rFonts w:ascii="Times New Roman" w:hAnsi="Times New Roman" w:cs="Times New Roman"/>
          <w:sz w:val="20"/>
          <w:szCs w:val="20"/>
          <w:lang w:val="fr-FR"/>
        </w:rPr>
      </w:pPr>
      <w:r w:rsidRPr="00493397">
        <w:rPr>
          <w:rFonts w:ascii="Times New Roman" w:hAnsi="Times New Roman" w:cs="Times New Roman"/>
          <w:sz w:val="20"/>
          <w:szCs w:val="20"/>
          <w:lang w:val="fr-FR"/>
        </w:rPr>
        <w:t>L’Agence Indépendante de Vérification est conjointement dotée des missions suivantes</w:t>
      </w:r>
      <w:r w:rsidR="007976E9">
        <w:rPr>
          <w:rFonts w:ascii="Times New Roman" w:hAnsi="Times New Roman" w:cs="Times New Roman"/>
          <w:sz w:val="20"/>
          <w:szCs w:val="20"/>
          <w:lang w:val="fr-FR"/>
        </w:rPr>
        <w:t> :</w:t>
      </w:r>
    </w:p>
    <w:p w:rsidR="00B620F8" w:rsidRPr="00493397" w:rsidRDefault="00B620F8" w:rsidP="00493397">
      <w:pPr>
        <w:numPr>
          <w:ilvl w:val="0"/>
          <w:numId w:val="5"/>
        </w:numPr>
        <w:spacing w:before="120" w:after="120" w:line="288" w:lineRule="auto"/>
        <w:ind w:left="284" w:hanging="284"/>
        <w:jc w:val="both"/>
        <w:rPr>
          <w:rFonts w:ascii="Times New Roman" w:hAnsi="Times New Roman" w:cs="Times New Roman"/>
          <w:sz w:val="20"/>
          <w:szCs w:val="20"/>
          <w:lang w:val="fr-FR"/>
        </w:rPr>
      </w:pPr>
      <w:r w:rsidRPr="00493397">
        <w:rPr>
          <w:rFonts w:ascii="Times New Roman" w:hAnsi="Times New Roman" w:cs="Times New Roman"/>
          <w:b/>
          <w:sz w:val="20"/>
          <w:szCs w:val="20"/>
          <w:lang w:val="fr-FR"/>
        </w:rPr>
        <w:t>Soumettre annuellement une note méthodologique</w:t>
      </w:r>
      <w:r w:rsidRPr="00493397">
        <w:rPr>
          <w:rFonts w:ascii="Times New Roman" w:hAnsi="Times New Roman" w:cs="Times New Roman"/>
          <w:sz w:val="20"/>
          <w:szCs w:val="20"/>
          <w:lang w:val="fr-FR"/>
        </w:rPr>
        <w:t xml:space="preserve"> en Français</w:t>
      </w:r>
      <w:r w:rsidR="00C917CB" w:rsidRPr="00493397">
        <w:rPr>
          <w:rFonts w:ascii="Times New Roman" w:hAnsi="Times New Roman" w:cs="Times New Roman"/>
          <w:sz w:val="20"/>
          <w:szCs w:val="20"/>
          <w:lang w:val="fr-FR"/>
        </w:rPr>
        <w:t xml:space="preserve"> qui</w:t>
      </w:r>
      <w:r w:rsidR="00493397">
        <w:rPr>
          <w:rFonts w:ascii="Times New Roman" w:hAnsi="Times New Roman" w:cs="Times New Roman"/>
          <w:sz w:val="20"/>
          <w:szCs w:val="20"/>
          <w:lang w:val="fr-FR"/>
        </w:rPr>
        <w:t xml:space="preserve"> </w:t>
      </w:r>
      <w:r w:rsidR="00C917CB" w:rsidRPr="00493397">
        <w:rPr>
          <w:rFonts w:ascii="Times New Roman" w:hAnsi="Times New Roman" w:cs="Times New Roman"/>
          <w:sz w:val="20"/>
          <w:szCs w:val="20"/>
          <w:lang w:val="fr-FR"/>
        </w:rPr>
        <w:t xml:space="preserve">élabore une </w:t>
      </w:r>
      <w:r w:rsidR="00392B6E" w:rsidRPr="00493397">
        <w:rPr>
          <w:rFonts w:ascii="Times New Roman" w:hAnsi="Times New Roman" w:cs="Times New Roman"/>
          <w:sz w:val="20"/>
          <w:szCs w:val="20"/>
          <w:lang w:val="fr-FR"/>
        </w:rPr>
        <w:t>méthodologie</w:t>
      </w:r>
      <w:r w:rsidR="00C917CB" w:rsidRPr="00493397">
        <w:rPr>
          <w:rFonts w:ascii="Times New Roman" w:hAnsi="Times New Roman" w:cs="Times New Roman"/>
          <w:sz w:val="20"/>
          <w:szCs w:val="20"/>
          <w:lang w:val="fr-FR"/>
        </w:rPr>
        <w:t xml:space="preserve"> détaillée pour évaluer les résultats par rapport </w:t>
      </w:r>
      <w:r w:rsidR="00F95F6E" w:rsidRPr="00493397">
        <w:rPr>
          <w:rFonts w:ascii="Times New Roman" w:hAnsi="Times New Roman" w:cs="Times New Roman"/>
          <w:sz w:val="20"/>
          <w:szCs w:val="20"/>
          <w:lang w:val="fr-FR"/>
        </w:rPr>
        <w:t>à</w:t>
      </w:r>
      <w:r w:rsidR="00C917CB" w:rsidRPr="00493397">
        <w:rPr>
          <w:rFonts w:ascii="Times New Roman" w:hAnsi="Times New Roman" w:cs="Times New Roman"/>
          <w:sz w:val="20"/>
          <w:szCs w:val="20"/>
          <w:lang w:val="fr-FR"/>
        </w:rPr>
        <w:t xml:space="preserve"> chaque </w:t>
      </w:r>
      <w:r w:rsidR="001F6487" w:rsidRPr="00493397">
        <w:rPr>
          <w:rFonts w:ascii="Times New Roman" w:hAnsi="Times New Roman" w:cs="Times New Roman"/>
          <w:sz w:val="20"/>
          <w:szCs w:val="20"/>
          <w:lang w:val="fr-FR"/>
        </w:rPr>
        <w:t>CBP</w:t>
      </w:r>
      <w:r w:rsidR="00C917CB" w:rsidRPr="00493397">
        <w:rPr>
          <w:rFonts w:ascii="Times New Roman" w:hAnsi="Times New Roman" w:cs="Times New Roman"/>
          <w:sz w:val="20"/>
          <w:szCs w:val="20"/>
          <w:lang w:val="fr-FR"/>
        </w:rPr>
        <w:t xml:space="preserve"> concerné et les </w:t>
      </w:r>
      <w:r w:rsidR="00392B6E" w:rsidRPr="00493397">
        <w:rPr>
          <w:rFonts w:ascii="Times New Roman" w:hAnsi="Times New Roman" w:cs="Times New Roman"/>
          <w:sz w:val="20"/>
          <w:szCs w:val="20"/>
          <w:lang w:val="fr-FR"/>
        </w:rPr>
        <w:t>protocoles</w:t>
      </w:r>
      <w:r w:rsidR="00C917CB" w:rsidRPr="00493397">
        <w:rPr>
          <w:rFonts w:ascii="Times New Roman" w:hAnsi="Times New Roman" w:cs="Times New Roman"/>
          <w:sz w:val="20"/>
          <w:szCs w:val="20"/>
          <w:lang w:val="fr-FR"/>
        </w:rPr>
        <w:t xml:space="preserve"> de vérification </w:t>
      </w:r>
      <w:r w:rsidR="00392B6E" w:rsidRPr="00493397">
        <w:rPr>
          <w:rFonts w:ascii="Times New Roman" w:hAnsi="Times New Roman" w:cs="Times New Roman"/>
          <w:sz w:val="20"/>
          <w:szCs w:val="20"/>
          <w:lang w:val="fr-FR"/>
        </w:rPr>
        <w:t>définis</w:t>
      </w:r>
      <w:r w:rsidR="00C917CB" w:rsidRPr="00493397">
        <w:rPr>
          <w:rFonts w:ascii="Times New Roman" w:hAnsi="Times New Roman" w:cs="Times New Roman"/>
          <w:sz w:val="20"/>
          <w:szCs w:val="20"/>
          <w:lang w:val="fr-FR"/>
        </w:rPr>
        <w:t xml:space="preserve"> (Voir </w:t>
      </w:r>
      <w:r w:rsidR="00392B6E" w:rsidRPr="00493397">
        <w:rPr>
          <w:rFonts w:ascii="Times New Roman" w:hAnsi="Times New Roman" w:cs="Times New Roman"/>
          <w:sz w:val="20"/>
          <w:szCs w:val="20"/>
          <w:lang w:val="fr-FR"/>
        </w:rPr>
        <w:t>annexe</w:t>
      </w:r>
      <w:r w:rsidR="00C917CB" w:rsidRPr="00493397">
        <w:rPr>
          <w:rFonts w:ascii="Times New Roman" w:hAnsi="Times New Roman" w:cs="Times New Roman"/>
          <w:sz w:val="20"/>
          <w:szCs w:val="20"/>
          <w:lang w:val="fr-FR"/>
        </w:rPr>
        <w:t xml:space="preserve"> des </w:t>
      </w:r>
      <w:r w:rsidR="001F6487" w:rsidRPr="00493397">
        <w:rPr>
          <w:rFonts w:ascii="Times New Roman" w:hAnsi="Times New Roman" w:cs="Times New Roman"/>
          <w:sz w:val="20"/>
          <w:szCs w:val="20"/>
          <w:lang w:val="fr-FR"/>
        </w:rPr>
        <w:t>CBP/</w:t>
      </w:r>
      <w:r w:rsidR="00C917CB" w:rsidRPr="00493397">
        <w:rPr>
          <w:rFonts w:ascii="Times New Roman" w:hAnsi="Times New Roman" w:cs="Times New Roman"/>
          <w:sz w:val="20"/>
          <w:szCs w:val="20"/>
          <w:lang w:val="fr-FR"/>
        </w:rPr>
        <w:t xml:space="preserve">ILD), </w:t>
      </w:r>
      <w:r w:rsidRPr="00493397">
        <w:rPr>
          <w:rFonts w:ascii="Times New Roman" w:hAnsi="Times New Roman" w:cs="Times New Roman"/>
          <w:sz w:val="20"/>
          <w:szCs w:val="20"/>
          <w:lang w:val="fr-FR"/>
        </w:rPr>
        <w:t xml:space="preserve">spécifiant les différentes parties prenantes à rencontrer au niveau central, régional et local, les modalités de vérification des sous-projets et des activités concernées, </w:t>
      </w:r>
      <w:r w:rsidR="0021537C" w:rsidRPr="00493397">
        <w:rPr>
          <w:rFonts w:ascii="Times New Roman" w:hAnsi="Times New Roman" w:cs="Times New Roman"/>
          <w:sz w:val="20"/>
          <w:szCs w:val="20"/>
          <w:lang w:val="fr-FR"/>
        </w:rPr>
        <w:t xml:space="preserve">y compris le cadre d'échantillonnage, </w:t>
      </w:r>
      <w:r w:rsidRPr="00493397">
        <w:rPr>
          <w:rFonts w:ascii="Times New Roman" w:hAnsi="Times New Roman" w:cs="Times New Roman"/>
          <w:sz w:val="20"/>
          <w:szCs w:val="20"/>
          <w:lang w:val="fr-FR"/>
        </w:rPr>
        <w:t>les délais requis pour la réalisation de la mission, etc. Cette note devra être validée par le Ministère de l’éducation et la Banque mondiale,</w:t>
      </w:r>
    </w:p>
    <w:p w:rsidR="00C917CB" w:rsidRPr="00493397" w:rsidRDefault="00C917CB" w:rsidP="00493397">
      <w:pPr>
        <w:numPr>
          <w:ilvl w:val="0"/>
          <w:numId w:val="5"/>
        </w:numPr>
        <w:spacing w:before="120" w:after="120" w:line="288" w:lineRule="auto"/>
        <w:ind w:left="284" w:hanging="284"/>
        <w:jc w:val="both"/>
        <w:rPr>
          <w:rFonts w:ascii="Times New Roman" w:hAnsi="Times New Roman" w:cs="Times New Roman"/>
          <w:sz w:val="20"/>
          <w:szCs w:val="20"/>
          <w:lang w:val="fr-FR"/>
        </w:rPr>
      </w:pPr>
      <w:r w:rsidRPr="00493397">
        <w:rPr>
          <w:rFonts w:ascii="Times New Roman" w:hAnsi="Times New Roman" w:cs="Times New Roman"/>
          <w:b/>
          <w:sz w:val="20"/>
          <w:szCs w:val="20"/>
          <w:lang w:val="fr-FR"/>
        </w:rPr>
        <w:t xml:space="preserve">Préparer le rapport de vérification de chaque </w:t>
      </w:r>
      <w:r w:rsidR="001F6487" w:rsidRPr="00493397">
        <w:rPr>
          <w:rFonts w:ascii="Times New Roman" w:hAnsi="Times New Roman" w:cs="Times New Roman"/>
          <w:b/>
          <w:sz w:val="20"/>
          <w:szCs w:val="20"/>
          <w:lang w:val="fr-FR"/>
        </w:rPr>
        <w:t>CBP</w:t>
      </w:r>
      <w:r w:rsidRPr="00493397">
        <w:rPr>
          <w:rFonts w:ascii="Times New Roman" w:hAnsi="Times New Roman" w:cs="Times New Roman"/>
          <w:b/>
          <w:sz w:val="20"/>
          <w:szCs w:val="20"/>
          <w:lang w:val="fr-FR"/>
        </w:rPr>
        <w:t xml:space="preserve"> présentant</w:t>
      </w:r>
      <w:r w:rsidRPr="00493397">
        <w:rPr>
          <w:rFonts w:ascii="Times New Roman" w:hAnsi="Times New Roman" w:cs="Times New Roman"/>
          <w:sz w:val="20"/>
          <w:szCs w:val="20"/>
          <w:lang w:val="fr-FR"/>
        </w:rPr>
        <w:t xml:space="preserve"> : (a) un aperçu des activités de vérification entreprises pour vérifier l'exactitude des résultats (données) déclarés par les unités responsables de la fourniture des résultats; (b) les résultats vérifiés pour toutes les </w:t>
      </w:r>
      <w:r w:rsidR="001F6487" w:rsidRPr="00493397">
        <w:rPr>
          <w:rFonts w:ascii="Times New Roman" w:hAnsi="Times New Roman" w:cs="Times New Roman"/>
          <w:sz w:val="20"/>
          <w:szCs w:val="20"/>
          <w:lang w:val="fr-FR"/>
        </w:rPr>
        <w:t>CBP</w:t>
      </w:r>
      <w:r w:rsidRPr="00493397">
        <w:rPr>
          <w:rFonts w:ascii="Times New Roman" w:hAnsi="Times New Roman" w:cs="Times New Roman"/>
          <w:sz w:val="20"/>
          <w:szCs w:val="20"/>
          <w:lang w:val="fr-FR"/>
        </w:rPr>
        <w:t xml:space="preserve"> ainsi que les niveaux de décaissement recommandés pour chaque </w:t>
      </w:r>
      <w:r w:rsidR="001F6487" w:rsidRPr="00493397">
        <w:rPr>
          <w:rFonts w:ascii="Times New Roman" w:hAnsi="Times New Roman" w:cs="Times New Roman"/>
          <w:sz w:val="20"/>
          <w:szCs w:val="20"/>
          <w:lang w:val="fr-FR"/>
        </w:rPr>
        <w:t>CBP</w:t>
      </w:r>
      <w:r w:rsidRPr="00493397">
        <w:rPr>
          <w:rFonts w:ascii="Times New Roman" w:hAnsi="Times New Roman" w:cs="Times New Roman"/>
          <w:sz w:val="20"/>
          <w:szCs w:val="20"/>
          <w:lang w:val="fr-FR"/>
        </w:rPr>
        <w:t xml:space="preserve">; (c) les faits saillants des divergences majeures entre les résultats rapportés et les résultats vérifiés (le cas échéant) ainsi que les explications de ces divergences; (d) une analyse critique des raisons pour lesquelles les résultats obtenus par rapport à des </w:t>
      </w:r>
      <w:r w:rsidR="001F6487" w:rsidRPr="00493397">
        <w:rPr>
          <w:rFonts w:ascii="Times New Roman" w:hAnsi="Times New Roman" w:cs="Times New Roman"/>
          <w:sz w:val="20"/>
          <w:szCs w:val="20"/>
          <w:lang w:val="fr-FR"/>
        </w:rPr>
        <w:t xml:space="preserve">CBP </w:t>
      </w:r>
      <w:r w:rsidRPr="00493397">
        <w:rPr>
          <w:rFonts w:ascii="Times New Roman" w:hAnsi="Times New Roman" w:cs="Times New Roman"/>
          <w:sz w:val="20"/>
          <w:szCs w:val="20"/>
          <w:lang w:val="fr-FR"/>
        </w:rPr>
        <w:t xml:space="preserve">spécifiques peuvent être supérieurs ou inférieurs aux objectifs; et (e) des recommandations pour atteindre les objectifs des </w:t>
      </w:r>
      <w:r w:rsidR="001F6487" w:rsidRPr="00493397">
        <w:rPr>
          <w:rFonts w:ascii="Times New Roman" w:hAnsi="Times New Roman" w:cs="Times New Roman"/>
          <w:sz w:val="20"/>
          <w:szCs w:val="20"/>
          <w:lang w:val="fr-FR"/>
        </w:rPr>
        <w:t>CBP</w:t>
      </w:r>
      <w:r w:rsidRPr="00493397">
        <w:rPr>
          <w:rFonts w:ascii="Times New Roman" w:hAnsi="Times New Roman" w:cs="Times New Roman"/>
          <w:sz w:val="20"/>
          <w:szCs w:val="20"/>
          <w:lang w:val="fr-FR"/>
        </w:rPr>
        <w:t> ;</w:t>
      </w:r>
    </w:p>
    <w:p w:rsidR="000B5252" w:rsidRPr="00493397" w:rsidRDefault="000B5252" w:rsidP="00493397">
      <w:pPr>
        <w:numPr>
          <w:ilvl w:val="0"/>
          <w:numId w:val="5"/>
        </w:numPr>
        <w:spacing w:before="120" w:after="120" w:line="288" w:lineRule="auto"/>
        <w:ind w:left="284" w:hanging="284"/>
        <w:jc w:val="both"/>
        <w:rPr>
          <w:rFonts w:ascii="Times New Roman" w:hAnsi="Times New Roman" w:cs="Times New Roman"/>
          <w:sz w:val="20"/>
          <w:szCs w:val="20"/>
          <w:lang w:val="fr-FR"/>
        </w:rPr>
      </w:pPr>
      <w:r w:rsidRPr="00493397">
        <w:rPr>
          <w:rFonts w:ascii="Times New Roman" w:hAnsi="Times New Roman" w:cs="Times New Roman"/>
          <w:sz w:val="20"/>
          <w:szCs w:val="20"/>
          <w:lang w:val="fr-FR"/>
        </w:rPr>
        <w:t>Analyser la fiabilité des m</w:t>
      </w:r>
      <w:r w:rsidR="00493397">
        <w:rPr>
          <w:rFonts w:ascii="Times New Roman" w:hAnsi="Times New Roman" w:cs="Times New Roman"/>
          <w:sz w:val="20"/>
          <w:szCs w:val="20"/>
          <w:lang w:val="fr-FR"/>
        </w:rPr>
        <w:t xml:space="preserve">écanismes et systèmes existants, </w:t>
      </w:r>
      <w:r w:rsidRPr="00493397">
        <w:rPr>
          <w:rFonts w:ascii="Times New Roman" w:hAnsi="Times New Roman" w:cs="Times New Roman"/>
          <w:sz w:val="20"/>
          <w:szCs w:val="20"/>
          <w:lang w:val="fr-FR"/>
        </w:rPr>
        <w:t>de suivi des progrès en termes des réalisations et de l’atteinte des résultats du Programme et proposer des actions pour l’amélioration de ces systèmes,</w:t>
      </w:r>
    </w:p>
    <w:p w:rsidR="002B57AD" w:rsidRPr="00493397" w:rsidRDefault="002B57AD" w:rsidP="00493397">
      <w:pPr>
        <w:numPr>
          <w:ilvl w:val="0"/>
          <w:numId w:val="5"/>
        </w:numPr>
        <w:spacing w:before="120" w:after="120" w:line="288" w:lineRule="auto"/>
        <w:ind w:left="284" w:hanging="284"/>
        <w:jc w:val="both"/>
        <w:rPr>
          <w:rFonts w:ascii="Times New Roman" w:hAnsi="Times New Roman" w:cs="Times New Roman"/>
          <w:sz w:val="20"/>
          <w:szCs w:val="20"/>
          <w:lang w:val="fr-FR"/>
        </w:rPr>
      </w:pPr>
      <w:r w:rsidRPr="00493397">
        <w:rPr>
          <w:rFonts w:ascii="Times New Roman" w:hAnsi="Times New Roman" w:cs="Times New Roman"/>
          <w:b/>
          <w:sz w:val="20"/>
          <w:szCs w:val="20"/>
          <w:lang w:val="fr-FR"/>
        </w:rPr>
        <w:t>Vérifier l’atteinte des résultats lies aux décaissements</w:t>
      </w:r>
      <w:r w:rsidRPr="00493397">
        <w:rPr>
          <w:rFonts w:ascii="Times New Roman" w:hAnsi="Times New Roman" w:cs="Times New Roman"/>
          <w:sz w:val="20"/>
          <w:szCs w:val="20"/>
          <w:lang w:val="fr-FR"/>
        </w:rPr>
        <w:t xml:space="preserve">, spécifier le montant à décaisser correspondant à chacun de ces indicateurs, analyser les différences observées avec les objectifs le cas échéant, et déterminer les justifications de ces différences. </w:t>
      </w:r>
    </w:p>
    <w:p w:rsidR="000F4ACC" w:rsidRPr="00493397" w:rsidRDefault="005D2F3D" w:rsidP="00493397">
      <w:pPr>
        <w:numPr>
          <w:ilvl w:val="0"/>
          <w:numId w:val="5"/>
        </w:numPr>
        <w:spacing w:before="120" w:after="120" w:line="288" w:lineRule="auto"/>
        <w:ind w:left="284" w:hanging="284"/>
        <w:jc w:val="both"/>
        <w:rPr>
          <w:rFonts w:ascii="Times New Roman" w:hAnsi="Times New Roman" w:cs="Times New Roman"/>
          <w:sz w:val="20"/>
          <w:szCs w:val="20"/>
          <w:lang w:val="fr-FR"/>
        </w:rPr>
      </w:pPr>
      <w:r w:rsidRPr="00493397">
        <w:rPr>
          <w:rFonts w:ascii="Times New Roman" w:hAnsi="Times New Roman" w:cs="Times New Roman"/>
          <w:b/>
          <w:sz w:val="20"/>
          <w:szCs w:val="20"/>
          <w:lang w:val="fr-FR"/>
        </w:rPr>
        <w:t>Présenter les résultats</w:t>
      </w:r>
      <w:r w:rsidR="0038408D" w:rsidRPr="00493397">
        <w:rPr>
          <w:rFonts w:ascii="Times New Roman" w:hAnsi="Times New Roman" w:cs="Times New Roman"/>
          <w:b/>
          <w:sz w:val="20"/>
          <w:szCs w:val="20"/>
          <w:lang w:val="fr-FR"/>
        </w:rPr>
        <w:t>/rapport</w:t>
      </w:r>
      <w:r w:rsidRPr="00493397">
        <w:rPr>
          <w:rFonts w:ascii="Times New Roman" w:hAnsi="Times New Roman" w:cs="Times New Roman"/>
          <w:b/>
          <w:sz w:val="20"/>
          <w:szCs w:val="20"/>
          <w:lang w:val="fr-FR"/>
        </w:rPr>
        <w:t xml:space="preserve"> de la vérification au Ministère</w:t>
      </w:r>
      <w:r w:rsidRPr="00493397">
        <w:rPr>
          <w:rFonts w:ascii="Times New Roman" w:hAnsi="Times New Roman" w:cs="Times New Roman"/>
          <w:sz w:val="20"/>
          <w:szCs w:val="20"/>
          <w:lang w:val="fr-FR"/>
        </w:rPr>
        <w:t xml:space="preserve"> de l’Education Nationale et de la Formation Professionnelle, à la Banque mondiale y compris lors de la réunion avec les partenaires au développement</w:t>
      </w:r>
      <w:r w:rsidR="00474CFB" w:rsidRPr="00493397">
        <w:rPr>
          <w:rFonts w:ascii="Times New Roman" w:hAnsi="Times New Roman" w:cs="Times New Roman"/>
          <w:sz w:val="20"/>
          <w:szCs w:val="20"/>
          <w:lang w:val="fr-FR"/>
        </w:rPr>
        <w:t xml:space="preserve"> si nécessaire</w:t>
      </w:r>
      <w:r w:rsidRPr="00493397">
        <w:rPr>
          <w:rFonts w:ascii="Times New Roman" w:hAnsi="Times New Roman" w:cs="Times New Roman"/>
          <w:sz w:val="20"/>
          <w:szCs w:val="20"/>
          <w:lang w:val="fr-FR"/>
        </w:rPr>
        <w:t>.</w:t>
      </w:r>
    </w:p>
    <w:p w:rsidR="002807DA" w:rsidRPr="007976E9" w:rsidRDefault="00F56CC7" w:rsidP="002807DA">
      <w:pPr>
        <w:pStyle w:val="Paragraphedeliste"/>
        <w:numPr>
          <w:ilvl w:val="0"/>
          <w:numId w:val="2"/>
        </w:numPr>
        <w:rPr>
          <w:rFonts w:cstheme="minorHAnsi"/>
          <w:b/>
          <w:sz w:val="24"/>
          <w:szCs w:val="24"/>
          <w:u w:val="single"/>
          <w:lang w:val="fr-FR"/>
        </w:rPr>
      </w:pPr>
      <w:r w:rsidRPr="007976E9">
        <w:rPr>
          <w:rFonts w:cstheme="minorHAnsi"/>
          <w:b/>
          <w:bCs/>
          <w:sz w:val="24"/>
          <w:szCs w:val="24"/>
          <w:u w:val="single"/>
          <w:lang w:val="fr-FR"/>
        </w:rPr>
        <w:lastRenderedPageBreak/>
        <w:t>Méthodologie de travail</w:t>
      </w:r>
    </w:p>
    <w:p w:rsidR="00E272F7" w:rsidRPr="00493397" w:rsidRDefault="00F95F6E" w:rsidP="00493397">
      <w:pPr>
        <w:spacing w:before="120" w:after="120" w:line="288" w:lineRule="auto"/>
        <w:jc w:val="both"/>
        <w:rPr>
          <w:rFonts w:ascii="Times New Roman" w:hAnsi="Times New Roman" w:cs="Times New Roman"/>
          <w:sz w:val="20"/>
          <w:lang w:val="fr-FR"/>
        </w:rPr>
      </w:pPr>
      <w:r w:rsidRPr="00493397">
        <w:rPr>
          <w:rFonts w:ascii="Times New Roman" w:hAnsi="Times New Roman" w:cs="Times New Roman"/>
          <w:sz w:val="20"/>
          <w:lang w:val="fr-FR"/>
        </w:rPr>
        <w:t>Le</w:t>
      </w:r>
      <w:r w:rsidR="00493397" w:rsidRPr="00493397">
        <w:rPr>
          <w:rFonts w:ascii="Times New Roman" w:hAnsi="Times New Roman" w:cs="Times New Roman"/>
          <w:sz w:val="20"/>
          <w:lang w:val="fr-FR"/>
        </w:rPr>
        <w:t xml:space="preserve"> </w:t>
      </w:r>
      <w:r w:rsidR="00676B5D" w:rsidRPr="00493397">
        <w:rPr>
          <w:rFonts w:ascii="Times New Roman" w:hAnsi="Times New Roman" w:cs="Times New Roman"/>
          <w:b/>
          <w:sz w:val="20"/>
          <w:lang w:val="fr-FR"/>
        </w:rPr>
        <w:t>M</w:t>
      </w:r>
      <w:r w:rsidR="00676B5D" w:rsidRPr="00493397">
        <w:rPr>
          <w:rFonts w:ascii="Times New Roman" w:hAnsi="Times New Roman" w:cs="Times New Roman"/>
          <w:sz w:val="20"/>
          <w:lang w:val="fr-FR"/>
        </w:rPr>
        <w:t>inistère de l</w:t>
      </w:r>
      <w:r w:rsidR="00676B5D" w:rsidRPr="00493397">
        <w:rPr>
          <w:rFonts w:ascii="Times New Roman" w:hAnsi="Times New Roman" w:cs="Times New Roman"/>
          <w:b/>
          <w:sz w:val="20"/>
          <w:lang w:val="fr-FR"/>
        </w:rPr>
        <w:t>’E</w:t>
      </w:r>
      <w:r w:rsidR="00676B5D" w:rsidRPr="00493397">
        <w:rPr>
          <w:rFonts w:ascii="Times New Roman" w:hAnsi="Times New Roman" w:cs="Times New Roman"/>
          <w:sz w:val="20"/>
          <w:lang w:val="fr-FR"/>
        </w:rPr>
        <w:t xml:space="preserve">ducation </w:t>
      </w:r>
      <w:r w:rsidR="00676B5D" w:rsidRPr="00493397">
        <w:rPr>
          <w:rFonts w:ascii="Times New Roman" w:hAnsi="Times New Roman" w:cs="Times New Roman"/>
          <w:b/>
          <w:sz w:val="20"/>
          <w:lang w:val="fr-FR"/>
        </w:rPr>
        <w:t>N</w:t>
      </w:r>
      <w:r w:rsidR="00676B5D" w:rsidRPr="00493397">
        <w:rPr>
          <w:rFonts w:ascii="Times New Roman" w:hAnsi="Times New Roman" w:cs="Times New Roman"/>
          <w:sz w:val="20"/>
          <w:lang w:val="fr-FR"/>
        </w:rPr>
        <w:t xml:space="preserve">ationale et de la </w:t>
      </w:r>
      <w:r w:rsidR="00676B5D" w:rsidRPr="00493397">
        <w:rPr>
          <w:rFonts w:ascii="Times New Roman" w:hAnsi="Times New Roman" w:cs="Times New Roman"/>
          <w:b/>
          <w:sz w:val="20"/>
          <w:lang w:val="fr-FR"/>
        </w:rPr>
        <w:t>F</w:t>
      </w:r>
      <w:r w:rsidR="00676B5D" w:rsidRPr="00493397">
        <w:rPr>
          <w:rFonts w:ascii="Times New Roman" w:hAnsi="Times New Roman" w:cs="Times New Roman"/>
          <w:sz w:val="20"/>
          <w:lang w:val="fr-FR"/>
        </w:rPr>
        <w:t xml:space="preserve">ormation </w:t>
      </w:r>
      <w:r w:rsidR="00676B5D" w:rsidRPr="00493397">
        <w:rPr>
          <w:rFonts w:ascii="Times New Roman" w:hAnsi="Times New Roman" w:cs="Times New Roman"/>
          <w:b/>
          <w:sz w:val="20"/>
          <w:lang w:val="fr-FR"/>
        </w:rPr>
        <w:t>P</w:t>
      </w:r>
      <w:r w:rsidR="00676B5D" w:rsidRPr="00493397">
        <w:rPr>
          <w:rFonts w:ascii="Times New Roman" w:hAnsi="Times New Roman" w:cs="Times New Roman"/>
          <w:sz w:val="20"/>
          <w:lang w:val="fr-FR"/>
        </w:rPr>
        <w:t>rofessionnelle notifie à l’Agence Indépendante de Vérification (AIV) la réalisation des activités de vérification selon les besoins</w:t>
      </w:r>
      <w:r w:rsidRPr="00493397">
        <w:rPr>
          <w:rFonts w:ascii="Times New Roman" w:hAnsi="Times New Roman" w:cs="Times New Roman"/>
          <w:sz w:val="20"/>
          <w:lang w:val="fr-FR"/>
        </w:rPr>
        <w:t xml:space="preserve"> et après l’avis de non objection de la Banque mondiale.</w:t>
      </w:r>
    </w:p>
    <w:p w:rsidR="00F95F6E" w:rsidRPr="00493397" w:rsidRDefault="00F95F6E" w:rsidP="00493397">
      <w:pPr>
        <w:spacing w:before="120" w:after="120" w:line="288" w:lineRule="auto"/>
        <w:jc w:val="both"/>
        <w:rPr>
          <w:rFonts w:ascii="Times New Roman" w:hAnsi="Times New Roman" w:cs="Times New Roman"/>
          <w:sz w:val="20"/>
          <w:lang w:val="fr-FR"/>
        </w:rPr>
      </w:pPr>
      <w:r w:rsidRPr="00493397">
        <w:rPr>
          <w:rFonts w:ascii="Times New Roman" w:hAnsi="Times New Roman" w:cs="Times New Roman"/>
          <w:sz w:val="20"/>
          <w:lang w:val="fr-FR"/>
        </w:rPr>
        <w:t xml:space="preserve">Chaque mission de vérification sera précédée par une réunion de cadrage entre le MENFOP, la banque Mondiale et l’agence de vérification pour convenir de la méthodologie adoptée, de l’application des protocoles et des éléments de justification. </w:t>
      </w:r>
    </w:p>
    <w:p w:rsidR="002807DA" w:rsidRPr="00493397" w:rsidRDefault="00EB113B" w:rsidP="00493397">
      <w:pPr>
        <w:spacing w:before="120" w:after="120" w:line="288" w:lineRule="auto"/>
        <w:jc w:val="both"/>
        <w:rPr>
          <w:rFonts w:ascii="Times New Roman" w:hAnsi="Times New Roman" w:cs="Times New Roman"/>
          <w:sz w:val="20"/>
          <w:lang w:val="fr-FR"/>
        </w:rPr>
      </w:pPr>
      <w:r w:rsidRPr="00493397">
        <w:rPr>
          <w:rFonts w:ascii="Times New Roman" w:hAnsi="Times New Roman" w:cs="Times New Roman"/>
          <w:sz w:val="20"/>
          <w:lang w:val="fr-FR"/>
        </w:rPr>
        <w:t xml:space="preserve">L’Agence organise des sessions de travail avec le Ministère de l’Education Nationale et de la Formation Professionnelle. Elle exécute </w:t>
      </w:r>
      <w:r w:rsidR="002807DA" w:rsidRPr="00493397">
        <w:rPr>
          <w:rFonts w:ascii="Times New Roman" w:hAnsi="Times New Roman" w:cs="Times New Roman"/>
          <w:sz w:val="20"/>
          <w:lang w:val="fr-FR"/>
        </w:rPr>
        <w:t xml:space="preserve">des déplacements </w:t>
      </w:r>
      <w:r w:rsidR="00F125A1" w:rsidRPr="00493397">
        <w:rPr>
          <w:rFonts w:ascii="Times New Roman" w:hAnsi="Times New Roman" w:cs="Times New Roman"/>
          <w:sz w:val="20"/>
          <w:lang w:val="fr-FR"/>
        </w:rPr>
        <w:t xml:space="preserve">dans </w:t>
      </w:r>
      <w:r w:rsidR="002807DA" w:rsidRPr="00493397">
        <w:rPr>
          <w:rFonts w:ascii="Times New Roman" w:hAnsi="Times New Roman" w:cs="Times New Roman"/>
          <w:sz w:val="20"/>
          <w:lang w:val="fr-FR"/>
        </w:rPr>
        <w:t>le pays, incluant, lorsque pertinents, des visites de terrain dans un échantillon de</w:t>
      </w:r>
      <w:r w:rsidR="00F125A1" w:rsidRPr="00493397">
        <w:rPr>
          <w:rFonts w:ascii="Times New Roman" w:hAnsi="Times New Roman" w:cs="Times New Roman"/>
          <w:sz w:val="20"/>
          <w:lang w:val="fr-FR"/>
        </w:rPr>
        <w:t>s</w:t>
      </w:r>
      <w:r w:rsidR="00493397" w:rsidRPr="00493397">
        <w:rPr>
          <w:rFonts w:ascii="Times New Roman" w:hAnsi="Times New Roman" w:cs="Times New Roman"/>
          <w:sz w:val="20"/>
          <w:lang w:val="fr-FR"/>
        </w:rPr>
        <w:t xml:space="preserve"> </w:t>
      </w:r>
      <w:r w:rsidR="00F125A1" w:rsidRPr="00493397">
        <w:rPr>
          <w:rFonts w:ascii="Times New Roman" w:hAnsi="Times New Roman" w:cs="Times New Roman"/>
          <w:sz w:val="20"/>
          <w:lang w:val="fr-FR"/>
        </w:rPr>
        <w:t xml:space="preserve">régions </w:t>
      </w:r>
      <w:r w:rsidR="002807DA" w:rsidRPr="00493397">
        <w:rPr>
          <w:rFonts w:ascii="Times New Roman" w:hAnsi="Times New Roman" w:cs="Times New Roman"/>
          <w:sz w:val="20"/>
          <w:lang w:val="fr-FR"/>
        </w:rPr>
        <w:t>et d’ac</w:t>
      </w:r>
      <w:r w:rsidRPr="00493397">
        <w:rPr>
          <w:rFonts w:ascii="Times New Roman" w:hAnsi="Times New Roman" w:cs="Times New Roman"/>
          <w:sz w:val="20"/>
          <w:lang w:val="fr-FR"/>
        </w:rPr>
        <w:t>tivités appuyés par le Projet</w:t>
      </w:r>
      <w:r w:rsidR="002807DA" w:rsidRPr="00493397">
        <w:rPr>
          <w:rFonts w:ascii="Times New Roman" w:hAnsi="Times New Roman" w:cs="Times New Roman"/>
          <w:sz w:val="20"/>
          <w:lang w:val="fr-FR"/>
        </w:rPr>
        <w:t>, des entretiens avec les bénéficiaires, des discussions avec les différentes parties prenantes impliquées dans la mise en œuvre du Programme au niveau régional et local ainsi que des vérification</w:t>
      </w:r>
      <w:r w:rsidR="0082504F" w:rsidRPr="00493397">
        <w:rPr>
          <w:rFonts w:ascii="Times New Roman" w:hAnsi="Times New Roman" w:cs="Times New Roman"/>
          <w:sz w:val="20"/>
          <w:lang w:val="fr-FR"/>
        </w:rPr>
        <w:t>s</w:t>
      </w:r>
      <w:r w:rsidR="002807DA" w:rsidRPr="00493397">
        <w:rPr>
          <w:rFonts w:ascii="Times New Roman" w:hAnsi="Times New Roman" w:cs="Times New Roman"/>
          <w:sz w:val="20"/>
          <w:lang w:val="fr-FR"/>
        </w:rPr>
        <w:t xml:space="preserve"> sur pièce et sur place. </w:t>
      </w:r>
    </w:p>
    <w:p w:rsidR="003477A5" w:rsidRPr="00493397" w:rsidRDefault="003477A5" w:rsidP="00493397">
      <w:pPr>
        <w:spacing w:before="120" w:after="120" w:line="288" w:lineRule="auto"/>
        <w:jc w:val="both"/>
        <w:rPr>
          <w:rFonts w:ascii="Times New Roman" w:hAnsi="Times New Roman" w:cs="Times New Roman"/>
          <w:sz w:val="20"/>
          <w:lang w:val="fr-FR"/>
        </w:rPr>
      </w:pPr>
      <w:r w:rsidRPr="00493397">
        <w:rPr>
          <w:rFonts w:ascii="Times New Roman" w:hAnsi="Times New Roman" w:cs="Times New Roman"/>
          <w:sz w:val="20"/>
          <w:lang w:val="fr-FR"/>
        </w:rPr>
        <w:t xml:space="preserve">L’Agence Indépendante de Vérification va proposer un échantillon suffisant pour vérification, y compris un échantillon représentatif le cas échéant. </w:t>
      </w:r>
    </w:p>
    <w:p w:rsidR="006F3AD9" w:rsidRPr="00493397" w:rsidRDefault="006F3AD9" w:rsidP="00493397">
      <w:pPr>
        <w:spacing w:before="120" w:after="120" w:line="288" w:lineRule="auto"/>
        <w:jc w:val="both"/>
        <w:rPr>
          <w:rFonts w:ascii="Times New Roman" w:hAnsi="Times New Roman" w:cs="Times New Roman"/>
          <w:sz w:val="20"/>
          <w:lang w:val="fr-FR"/>
        </w:rPr>
      </w:pPr>
      <w:r w:rsidRPr="00493397">
        <w:rPr>
          <w:rFonts w:ascii="Times New Roman" w:hAnsi="Times New Roman" w:cs="Times New Roman"/>
          <w:sz w:val="20"/>
          <w:lang w:val="fr-FR"/>
        </w:rPr>
        <w:t>Les experts pourront également, pour une meilleure com</w:t>
      </w:r>
      <w:r w:rsidR="00972201" w:rsidRPr="00493397">
        <w:rPr>
          <w:rFonts w:ascii="Times New Roman" w:hAnsi="Times New Roman" w:cs="Times New Roman"/>
          <w:sz w:val="20"/>
          <w:lang w:val="fr-FR"/>
        </w:rPr>
        <w:t>préhension du cadre du Projet</w:t>
      </w:r>
      <w:r w:rsidRPr="00493397">
        <w:rPr>
          <w:rFonts w:ascii="Times New Roman" w:hAnsi="Times New Roman" w:cs="Times New Roman"/>
          <w:sz w:val="20"/>
          <w:lang w:val="fr-FR"/>
        </w:rPr>
        <w:t xml:space="preserve"> et de sa mise en œuvre, se référer entres autres à la documentation officielle publiée par la Banque mondiale et le gouvernement du Djibouti. A cet effet, la documentation pertinente devra être fournie aux experts de l’Agence avant le début de leur mission. </w:t>
      </w:r>
    </w:p>
    <w:p w:rsidR="00F95F6E" w:rsidRPr="00493397" w:rsidRDefault="00F95F6E" w:rsidP="00493397">
      <w:pPr>
        <w:spacing w:before="120" w:after="120" w:line="288" w:lineRule="auto"/>
        <w:jc w:val="both"/>
        <w:rPr>
          <w:rFonts w:ascii="Times New Roman" w:hAnsi="Times New Roman" w:cs="Times New Roman"/>
          <w:sz w:val="20"/>
          <w:lang w:val="fr-FR"/>
        </w:rPr>
      </w:pPr>
      <w:r w:rsidRPr="00493397">
        <w:rPr>
          <w:rFonts w:ascii="Times New Roman" w:hAnsi="Times New Roman" w:cs="Times New Roman"/>
          <w:sz w:val="20"/>
          <w:lang w:val="fr-FR"/>
        </w:rPr>
        <w:t xml:space="preserve">L’Agence sera responsable de recruter et former son personnel de terrain ainsi de la préparation des moyens logistiques </w:t>
      </w:r>
      <w:r w:rsidR="004F0D9C" w:rsidRPr="00493397">
        <w:rPr>
          <w:rFonts w:ascii="Times New Roman" w:hAnsi="Times New Roman" w:cs="Times New Roman"/>
          <w:sz w:val="20"/>
          <w:lang w:val="fr-FR"/>
        </w:rPr>
        <w:t xml:space="preserve">nécessaires </w:t>
      </w:r>
      <w:r w:rsidRPr="00493397">
        <w:rPr>
          <w:rFonts w:ascii="Times New Roman" w:hAnsi="Times New Roman" w:cs="Times New Roman"/>
          <w:sz w:val="20"/>
          <w:lang w:val="fr-FR"/>
        </w:rPr>
        <w:t xml:space="preserve">et </w:t>
      </w:r>
      <w:r w:rsidR="004F0D9C" w:rsidRPr="00493397">
        <w:rPr>
          <w:rFonts w:ascii="Times New Roman" w:hAnsi="Times New Roman" w:cs="Times New Roman"/>
          <w:sz w:val="20"/>
          <w:lang w:val="fr-FR"/>
        </w:rPr>
        <w:t xml:space="preserve">d’assurer </w:t>
      </w:r>
      <w:r w:rsidRPr="00493397">
        <w:rPr>
          <w:rFonts w:ascii="Times New Roman" w:hAnsi="Times New Roman" w:cs="Times New Roman"/>
          <w:sz w:val="20"/>
          <w:lang w:val="fr-FR"/>
        </w:rPr>
        <w:t xml:space="preserve">la supervision des </w:t>
      </w:r>
      <w:r w:rsidR="004F0D9C" w:rsidRPr="00493397">
        <w:rPr>
          <w:rFonts w:ascii="Times New Roman" w:hAnsi="Times New Roman" w:cs="Times New Roman"/>
          <w:sz w:val="20"/>
          <w:lang w:val="fr-FR"/>
        </w:rPr>
        <w:t>activités sur les terrains.</w:t>
      </w:r>
    </w:p>
    <w:p w:rsidR="002807DA" w:rsidRPr="007976E9" w:rsidRDefault="0072142A" w:rsidP="0072142A">
      <w:pPr>
        <w:pStyle w:val="Paragraphedeliste"/>
        <w:numPr>
          <w:ilvl w:val="0"/>
          <w:numId w:val="2"/>
        </w:numPr>
        <w:rPr>
          <w:rFonts w:cstheme="minorHAnsi"/>
          <w:b/>
          <w:bCs/>
          <w:sz w:val="24"/>
          <w:szCs w:val="24"/>
          <w:u w:val="single"/>
          <w:lang w:val="fr-FR"/>
        </w:rPr>
      </w:pPr>
      <w:r w:rsidRPr="007976E9">
        <w:rPr>
          <w:rFonts w:cstheme="minorHAnsi"/>
          <w:b/>
          <w:bCs/>
          <w:sz w:val="24"/>
          <w:szCs w:val="24"/>
          <w:u w:val="single"/>
          <w:lang w:val="fr-FR"/>
        </w:rPr>
        <w:t xml:space="preserve">Résultats/Livrables </w:t>
      </w:r>
    </w:p>
    <w:p w:rsidR="004F0D9C" w:rsidRPr="007976E9" w:rsidRDefault="004F0D9C" w:rsidP="007976E9">
      <w:p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 xml:space="preserve">Avant chaque mission, </w:t>
      </w:r>
      <w:r w:rsidR="0092084A" w:rsidRPr="007976E9">
        <w:rPr>
          <w:rFonts w:ascii="Times New Roman" w:hAnsi="Times New Roman" w:cs="Times New Roman"/>
          <w:sz w:val="20"/>
          <w:lang w:val="fr-FR"/>
        </w:rPr>
        <w:t xml:space="preserve">l’agence de vérification soumettra une note méthodologique détaillée d’évaluation de chaque </w:t>
      </w:r>
      <w:r w:rsidR="001F6487" w:rsidRPr="007976E9">
        <w:rPr>
          <w:rFonts w:ascii="Times New Roman" w:hAnsi="Times New Roman" w:cs="Times New Roman"/>
          <w:sz w:val="20"/>
          <w:lang w:val="fr-FR"/>
        </w:rPr>
        <w:t>Condition Basé sur la Performance</w:t>
      </w:r>
      <w:r w:rsidR="0092084A" w:rsidRPr="007976E9">
        <w:rPr>
          <w:rFonts w:ascii="Times New Roman" w:hAnsi="Times New Roman" w:cs="Times New Roman"/>
          <w:sz w:val="20"/>
          <w:lang w:val="fr-FR"/>
        </w:rPr>
        <w:t xml:space="preserve"> et comprenant un protocole de vérification précis.</w:t>
      </w:r>
    </w:p>
    <w:p w:rsidR="00972201" w:rsidRPr="007976E9" w:rsidRDefault="002807DA" w:rsidP="007976E9">
      <w:p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A la fin de chaque mission, l’A</w:t>
      </w:r>
      <w:r w:rsidR="0072772A" w:rsidRPr="007976E9">
        <w:rPr>
          <w:rFonts w:ascii="Times New Roman" w:hAnsi="Times New Roman" w:cs="Times New Roman"/>
          <w:sz w:val="20"/>
          <w:lang w:val="fr-FR"/>
        </w:rPr>
        <w:t>gence de Vérification</w:t>
      </w:r>
      <w:r w:rsidRPr="007976E9">
        <w:rPr>
          <w:rFonts w:ascii="Times New Roman" w:hAnsi="Times New Roman" w:cs="Times New Roman"/>
          <w:sz w:val="20"/>
          <w:lang w:val="fr-FR"/>
        </w:rPr>
        <w:t xml:space="preserve"> devra préparer un rapport complet, rédigé en langue française, présentant en détails les principales conclusions de </w:t>
      </w:r>
      <w:r w:rsidR="007A2D54" w:rsidRPr="007976E9">
        <w:rPr>
          <w:rFonts w:ascii="Times New Roman" w:hAnsi="Times New Roman" w:cs="Times New Roman"/>
          <w:sz w:val="20"/>
          <w:lang w:val="fr-FR"/>
        </w:rPr>
        <w:t xml:space="preserve">vérification de l’atteinte des </w:t>
      </w:r>
      <w:r w:rsidR="005F2F05" w:rsidRPr="007976E9">
        <w:rPr>
          <w:rFonts w:ascii="Times New Roman" w:hAnsi="Times New Roman" w:cs="Times New Roman"/>
          <w:sz w:val="20"/>
          <w:lang w:val="fr-FR"/>
        </w:rPr>
        <w:t>résultats</w:t>
      </w:r>
      <w:r w:rsidR="007A2D54" w:rsidRPr="007976E9">
        <w:rPr>
          <w:rFonts w:ascii="Times New Roman" w:hAnsi="Times New Roman" w:cs="Times New Roman"/>
          <w:sz w:val="20"/>
          <w:lang w:val="fr-FR"/>
        </w:rPr>
        <w:t xml:space="preserve"> liés aux décaissements</w:t>
      </w:r>
      <w:r w:rsidRPr="007976E9">
        <w:rPr>
          <w:rFonts w:ascii="Times New Roman" w:hAnsi="Times New Roman" w:cs="Times New Roman"/>
          <w:sz w:val="20"/>
          <w:lang w:val="fr-FR"/>
        </w:rPr>
        <w:t xml:space="preserve"> (analyse des systèmes de suivi utilisés par le Programme, difficultés observées, recommandations opérationnelles, ainsi que les niveaux d’atteinte des indicateurs concernés). L’ensemble des pièces justificatives devra être annexé au rapport. </w:t>
      </w:r>
      <w:r w:rsidR="001C4512" w:rsidRPr="007976E9">
        <w:rPr>
          <w:rFonts w:ascii="Times New Roman" w:hAnsi="Times New Roman" w:cs="Times New Roman"/>
          <w:sz w:val="20"/>
          <w:lang w:val="fr-FR"/>
        </w:rPr>
        <w:t xml:space="preserve">L'entité de vérification devrait tenir à jour une liste complète des sources d’information et données utilisées et remettre tous les documents et données au Ministère de l’Education Nationale et de la Formation Professionnelle et à la Banque mondiale à la fin de </w:t>
      </w:r>
      <w:r w:rsidR="00076BAC" w:rsidRPr="007976E9">
        <w:rPr>
          <w:rFonts w:ascii="Times New Roman" w:hAnsi="Times New Roman" w:cs="Times New Roman"/>
          <w:sz w:val="20"/>
          <w:lang w:val="fr-FR"/>
        </w:rPr>
        <w:t xml:space="preserve">chaque </w:t>
      </w:r>
      <w:r w:rsidR="00E520AC" w:rsidRPr="007976E9">
        <w:rPr>
          <w:rFonts w:ascii="Times New Roman" w:hAnsi="Times New Roman" w:cs="Times New Roman"/>
          <w:sz w:val="20"/>
          <w:lang w:val="fr-FR"/>
        </w:rPr>
        <w:t>vérification</w:t>
      </w:r>
      <w:r w:rsidR="001C4512" w:rsidRPr="007976E9">
        <w:rPr>
          <w:rFonts w:ascii="Times New Roman" w:hAnsi="Times New Roman" w:cs="Times New Roman"/>
          <w:sz w:val="20"/>
          <w:lang w:val="fr-FR"/>
        </w:rPr>
        <w:t>.</w:t>
      </w:r>
    </w:p>
    <w:p w:rsidR="00563A35" w:rsidRPr="007976E9" w:rsidRDefault="00563A35" w:rsidP="007976E9">
      <w:p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 xml:space="preserve">Un rapport préliminaire de mission en Français, devra être transmis </w:t>
      </w:r>
      <w:r w:rsidR="00105150" w:rsidRPr="007976E9">
        <w:rPr>
          <w:rFonts w:ascii="Times New Roman" w:hAnsi="Times New Roman" w:cs="Times New Roman"/>
          <w:sz w:val="20"/>
          <w:lang w:val="fr-FR"/>
        </w:rPr>
        <w:t xml:space="preserve">en version électronique et </w:t>
      </w:r>
      <w:r w:rsidRPr="007976E9">
        <w:rPr>
          <w:rFonts w:ascii="Times New Roman" w:hAnsi="Times New Roman" w:cs="Times New Roman"/>
          <w:sz w:val="20"/>
          <w:lang w:val="fr-FR"/>
        </w:rPr>
        <w:t xml:space="preserve">en 3 copies, 15 jours après la conclusion de la mission par l’AIV au </w:t>
      </w:r>
      <w:r w:rsidR="001C4512" w:rsidRPr="007976E9">
        <w:rPr>
          <w:rFonts w:ascii="Times New Roman" w:hAnsi="Times New Roman" w:cs="Times New Roman"/>
          <w:sz w:val="20"/>
          <w:lang w:val="fr-FR"/>
        </w:rPr>
        <w:t xml:space="preserve">Ministère de l’Education Nationale et de la Formation </w:t>
      </w:r>
      <w:r w:rsidR="001F6487" w:rsidRPr="007976E9">
        <w:rPr>
          <w:rFonts w:ascii="Times New Roman" w:hAnsi="Times New Roman" w:cs="Times New Roman"/>
          <w:sz w:val="20"/>
          <w:lang w:val="fr-FR"/>
        </w:rPr>
        <w:t>Professionnelle et</w:t>
      </w:r>
      <w:r w:rsidR="007976E9" w:rsidRPr="007976E9">
        <w:rPr>
          <w:rFonts w:ascii="Times New Roman" w:hAnsi="Times New Roman" w:cs="Times New Roman"/>
          <w:sz w:val="20"/>
          <w:lang w:val="fr-FR"/>
        </w:rPr>
        <w:t xml:space="preserve"> </w:t>
      </w:r>
      <w:r w:rsidRPr="007976E9">
        <w:rPr>
          <w:rFonts w:ascii="Times New Roman" w:hAnsi="Times New Roman" w:cs="Times New Roman"/>
          <w:sz w:val="20"/>
          <w:lang w:val="fr-FR"/>
        </w:rPr>
        <w:t>à la Banque</w:t>
      </w:r>
      <w:r w:rsidR="006F34DF" w:rsidRPr="007976E9">
        <w:rPr>
          <w:rFonts w:ascii="Times New Roman" w:hAnsi="Times New Roman" w:cs="Times New Roman"/>
          <w:sz w:val="20"/>
          <w:lang w:val="fr-FR"/>
        </w:rPr>
        <w:t xml:space="preserve"> mondiale</w:t>
      </w:r>
      <w:r w:rsidRPr="007976E9">
        <w:rPr>
          <w:rFonts w:ascii="Times New Roman" w:hAnsi="Times New Roman" w:cs="Times New Roman"/>
          <w:sz w:val="20"/>
          <w:lang w:val="fr-FR"/>
        </w:rPr>
        <w:t xml:space="preserve">. </w:t>
      </w:r>
    </w:p>
    <w:p w:rsidR="00563A35" w:rsidRPr="007976E9" w:rsidRDefault="00563A35" w:rsidP="007976E9">
      <w:p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Un rapport final incorporant les commentaires de la Banque et du Ministère de l’éducation devra être soumis en 5 copies et en version électronique 10 jours après réception des commentaires. Les rapports approuvés en français seront transmis par la Banque à la contrepartie Djiboutienne. La réception des versions papier en français par la Banque mondiale fera foi en matière de délais contractuels. La livraison devra être effectuée par courriel ou par poste expresse.</w:t>
      </w:r>
    </w:p>
    <w:p w:rsidR="002807DA" w:rsidRPr="007976E9" w:rsidRDefault="002807DA" w:rsidP="00042245">
      <w:pPr>
        <w:pStyle w:val="Paragraphedeliste"/>
        <w:numPr>
          <w:ilvl w:val="0"/>
          <w:numId w:val="2"/>
        </w:numPr>
        <w:rPr>
          <w:rFonts w:cstheme="minorHAnsi"/>
          <w:b/>
          <w:bCs/>
          <w:sz w:val="24"/>
          <w:szCs w:val="28"/>
          <w:u w:val="single"/>
          <w:lang w:val="fr-FR"/>
        </w:rPr>
      </w:pPr>
      <w:r w:rsidRPr="007976E9">
        <w:rPr>
          <w:rFonts w:cstheme="minorHAnsi"/>
          <w:b/>
          <w:bCs/>
          <w:sz w:val="24"/>
          <w:szCs w:val="28"/>
          <w:u w:val="single"/>
          <w:lang w:val="fr-FR"/>
        </w:rPr>
        <w:t xml:space="preserve">PROFILS DES EXPERTS </w:t>
      </w:r>
    </w:p>
    <w:p w:rsidR="00B615AA" w:rsidRPr="007976E9" w:rsidRDefault="00B615AA" w:rsidP="007976E9">
      <w:pPr>
        <w:pStyle w:val="Sansinterligne"/>
        <w:spacing w:before="120" w:after="120" w:line="288" w:lineRule="auto"/>
        <w:jc w:val="both"/>
        <w:rPr>
          <w:rFonts w:ascii="Times New Roman" w:hAnsi="Times New Roman"/>
          <w:b/>
          <w:color w:val="000000"/>
          <w:sz w:val="20"/>
          <w:lang w:val="fr-FR"/>
        </w:rPr>
      </w:pPr>
      <w:r w:rsidRPr="007976E9">
        <w:rPr>
          <w:rFonts w:ascii="Times New Roman" w:hAnsi="Times New Roman"/>
          <w:b/>
          <w:color w:val="000000"/>
          <w:sz w:val="20"/>
          <w:lang w:val="fr-FR"/>
        </w:rPr>
        <w:t>ATTRIBUTIONS DE</w:t>
      </w:r>
      <w:r w:rsidRPr="007976E9">
        <w:rPr>
          <w:rFonts w:ascii="Times New Roman" w:hAnsi="Times New Roman"/>
          <w:b/>
          <w:caps/>
          <w:color w:val="000000"/>
          <w:sz w:val="20"/>
          <w:lang w:val="fr-FR"/>
        </w:rPr>
        <w:t xml:space="preserve"> L</w:t>
      </w:r>
      <w:r w:rsidR="000C1FA1" w:rsidRPr="007976E9">
        <w:rPr>
          <w:rFonts w:ascii="Times New Roman" w:hAnsi="Times New Roman"/>
          <w:b/>
          <w:caps/>
          <w:color w:val="000000"/>
          <w:sz w:val="20"/>
          <w:lang w:val="fr-FR"/>
        </w:rPr>
        <w:t>’Agence Indépendante de Vérification</w:t>
      </w:r>
    </w:p>
    <w:p w:rsidR="00B615AA" w:rsidRPr="007976E9" w:rsidRDefault="00B615AA" w:rsidP="007976E9">
      <w:p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 xml:space="preserve">L’entité chargée de la vérification doit avoir au moins </w:t>
      </w:r>
      <w:r w:rsidRPr="007976E9">
        <w:rPr>
          <w:rFonts w:ascii="Times New Roman" w:hAnsi="Times New Roman" w:cs="Times New Roman"/>
          <w:b/>
          <w:sz w:val="20"/>
          <w:lang w:val="fr-FR"/>
        </w:rPr>
        <w:t>cinq ans d’expérience pertinente dans la vérification des DLI</w:t>
      </w:r>
      <w:r w:rsidRPr="007976E9">
        <w:rPr>
          <w:rFonts w:ascii="Times New Roman" w:hAnsi="Times New Roman" w:cs="Times New Roman"/>
          <w:sz w:val="20"/>
          <w:lang w:val="fr-FR"/>
        </w:rPr>
        <w:t>. De plus, le profil de la firme devrait être le suivant :</w:t>
      </w:r>
    </w:p>
    <w:p w:rsidR="00B615AA" w:rsidRPr="007976E9" w:rsidRDefault="00B615AA" w:rsidP="007976E9">
      <w:pPr>
        <w:numPr>
          <w:ilvl w:val="0"/>
          <w:numId w:val="12"/>
        </w:numPr>
        <w:tabs>
          <w:tab w:val="right" w:pos="2887"/>
        </w:tabs>
        <w:spacing w:before="120" w:after="120" w:line="288" w:lineRule="auto"/>
        <w:jc w:val="both"/>
        <w:rPr>
          <w:rFonts w:ascii="Times New Roman" w:eastAsia="Times New Roman" w:hAnsi="Times New Roman" w:cs="Times New Roman"/>
          <w:sz w:val="20"/>
          <w:lang w:val="fr-FR"/>
        </w:rPr>
      </w:pPr>
      <w:r w:rsidRPr="007976E9">
        <w:rPr>
          <w:rFonts w:ascii="Times New Roman" w:eastAsia="Times New Roman" w:hAnsi="Times New Roman" w:cs="Times New Roman"/>
          <w:b/>
          <w:sz w:val="20"/>
          <w:lang w:val="fr-FR"/>
        </w:rPr>
        <w:t>Cabinet d’études légalement constitué depuis au moins dix (10) ans</w:t>
      </w:r>
      <w:r w:rsidRPr="007976E9">
        <w:rPr>
          <w:rFonts w:ascii="Times New Roman" w:eastAsia="Times New Roman" w:hAnsi="Times New Roman" w:cs="Times New Roman"/>
          <w:sz w:val="20"/>
          <w:lang w:val="fr-FR"/>
        </w:rPr>
        <w:t xml:space="preserve"> ;</w:t>
      </w:r>
    </w:p>
    <w:p w:rsidR="00B615AA" w:rsidRPr="007976E9" w:rsidRDefault="00B615AA" w:rsidP="007976E9">
      <w:pPr>
        <w:numPr>
          <w:ilvl w:val="0"/>
          <w:numId w:val="12"/>
        </w:numPr>
        <w:autoSpaceDE w:val="0"/>
        <w:autoSpaceDN w:val="0"/>
        <w:adjustRightInd w:val="0"/>
        <w:spacing w:before="120" w:after="120" w:line="288" w:lineRule="auto"/>
        <w:jc w:val="both"/>
        <w:rPr>
          <w:rFonts w:ascii="Times New Roman" w:eastAsia="Times New Roman" w:hAnsi="Times New Roman" w:cs="Times New Roman"/>
          <w:b/>
          <w:sz w:val="20"/>
          <w:lang w:val="fr-FR"/>
        </w:rPr>
      </w:pPr>
      <w:r w:rsidRPr="007976E9">
        <w:rPr>
          <w:rFonts w:ascii="Times New Roman" w:eastAsia="Times New Roman" w:hAnsi="Times New Roman" w:cs="Times New Roman"/>
          <w:b/>
          <w:sz w:val="20"/>
          <w:lang w:val="fr-FR"/>
        </w:rPr>
        <w:lastRenderedPageBreak/>
        <w:t>Avoir une expérience confirmée en matière de contrôle des réalisations d’activités sur terrain dans les secteurs sociaux ;</w:t>
      </w:r>
    </w:p>
    <w:p w:rsidR="00B615AA" w:rsidRPr="007976E9" w:rsidRDefault="00B615AA" w:rsidP="007976E9">
      <w:pPr>
        <w:numPr>
          <w:ilvl w:val="0"/>
          <w:numId w:val="12"/>
        </w:numPr>
        <w:autoSpaceDE w:val="0"/>
        <w:autoSpaceDN w:val="0"/>
        <w:adjustRightInd w:val="0"/>
        <w:spacing w:before="120" w:after="120" w:line="288" w:lineRule="auto"/>
        <w:jc w:val="both"/>
        <w:rPr>
          <w:rFonts w:ascii="Times New Roman" w:eastAsia="Times New Roman" w:hAnsi="Times New Roman" w:cs="Times New Roman"/>
          <w:sz w:val="20"/>
          <w:lang w:val="fr-FR"/>
        </w:rPr>
      </w:pPr>
      <w:r w:rsidRPr="007976E9">
        <w:rPr>
          <w:rFonts w:ascii="Times New Roman" w:eastAsia="Times New Roman" w:hAnsi="Times New Roman" w:cs="Times New Roman"/>
          <w:b/>
          <w:sz w:val="20"/>
          <w:lang w:val="fr-FR"/>
        </w:rPr>
        <w:t>Disposer de ressources matérielles et de personnels clés</w:t>
      </w:r>
      <w:r w:rsidRPr="007976E9">
        <w:rPr>
          <w:rFonts w:ascii="Times New Roman" w:eastAsia="Times New Roman" w:hAnsi="Times New Roman" w:cs="Times New Roman"/>
          <w:sz w:val="20"/>
          <w:lang w:val="fr-FR"/>
        </w:rPr>
        <w:t xml:space="preserve"> (Chef de mission, Personnel ayant des connaissances du système d’éducation primaire) pour garantir la qualité du travail.</w:t>
      </w:r>
    </w:p>
    <w:p w:rsidR="00B615AA" w:rsidRPr="007976E9" w:rsidRDefault="00B615AA" w:rsidP="007976E9">
      <w:p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L'entité chargée de la vérification a le droit de faire appel à des services de conseil pour combler les lacunes en matière de capacité, si nécessaire.</w:t>
      </w:r>
      <w:r w:rsidR="007976E9" w:rsidRPr="007976E9">
        <w:rPr>
          <w:rFonts w:ascii="Times New Roman" w:hAnsi="Times New Roman" w:cs="Times New Roman"/>
          <w:sz w:val="20"/>
          <w:lang w:val="fr-FR"/>
        </w:rPr>
        <w:t xml:space="preserve"> </w:t>
      </w:r>
      <w:r w:rsidRPr="007976E9">
        <w:rPr>
          <w:rFonts w:ascii="Times New Roman" w:hAnsi="Times New Roman" w:cs="Times New Roman"/>
          <w:sz w:val="20"/>
          <w:lang w:val="fr-FR"/>
        </w:rPr>
        <w:t>Le cabinet doit s'assurer de la disponibilité des compétences / de l'expertise appropriée parmi le personnel du consultant, y compris de l'expertise en suivi et évaluation, en éducation</w:t>
      </w:r>
      <w:r w:rsidR="004E438B" w:rsidRPr="007976E9">
        <w:rPr>
          <w:rFonts w:ascii="Times New Roman" w:hAnsi="Times New Roman" w:cs="Times New Roman"/>
          <w:sz w:val="20"/>
          <w:lang w:val="fr-FR"/>
        </w:rPr>
        <w:t>, en échantillonnage et analyse de données quantitatives, en analyse de données qualitatives etc</w:t>
      </w:r>
      <w:r w:rsidRPr="007976E9">
        <w:rPr>
          <w:rFonts w:ascii="Times New Roman" w:hAnsi="Times New Roman" w:cs="Times New Roman"/>
          <w:sz w:val="20"/>
          <w:lang w:val="fr-FR"/>
        </w:rPr>
        <w:t>.</w:t>
      </w:r>
    </w:p>
    <w:p w:rsidR="002807DA" w:rsidRPr="007976E9" w:rsidRDefault="00042245" w:rsidP="007976E9">
      <w:p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Pour exécuter dans les conditions satisfaisantes les missions</w:t>
      </w:r>
      <w:r w:rsidR="002807DA" w:rsidRPr="007976E9">
        <w:rPr>
          <w:rFonts w:ascii="Times New Roman" w:hAnsi="Times New Roman" w:cs="Times New Roman"/>
          <w:sz w:val="20"/>
          <w:lang w:val="fr-FR"/>
        </w:rPr>
        <w:t xml:space="preserve"> susmentionnées, l’A</w:t>
      </w:r>
      <w:r w:rsidRPr="007976E9">
        <w:rPr>
          <w:rFonts w:ascii="Times New Roman" w:hAnsi="Times New Roman" w:cs="Times New Roman"/>
          <w:sz w:val="20"/>
          <w:lang w:val="fr-FR"/>
        </w:rPr>
        <w:t xml:space="preserve">gence </w:t>
      </w:r>
      <w:r w:rsidR="006D08B1" w:rsidRPr="007976E9">
        <w:rPr>
          <w:rFonts w:ascii="Times New Roman" w:hAnsi="Times New Roman" w:cs="Times New Roman"/>
          <w:sz w:val="20"/>
          <w:lang w:val="fr-FR"/>
        </w:rPr>
        <w:t>I</w:t>
      </w:r>
      <w:r w:rsidRPr="007976E9">
        <w:rPr>
          <w:rFonts w:ascii="Times New Roman" w:hAnsi="Times New Roman" w:cs="Times New Roman"/>
          <w:sz w:val="20"/>
          <w:lang w:val="fr-FR"/>
        </w:rPr>
        <w:t xml:space="preserve">ndépendante de </w:t>
      </w:r>
      <w:r w:rsidR="002807DA" w:rsidRPr="007976E9">
        <w:rPr>
          <w:rFonts w:ascii="Times New Roman" w:hAnsi="Times New Roman" w:cs="Times New Roman"/>
          <w:sz w:val="20"/>
          <w:lang w:val="fr-FR"/>
        </w:rPr>
        <w:t>V</w:t>
      </w:r>
      <w:r w:rsidRPr="007976E9">
        <w:rPr>
          <w:rFonts w:ascii="Times New Roman" w:hAnsi="Times New Roman" w:cs="Times New Roman"/>
          <w:sz w:val="20"/>
          <w:lang w:val="fr-FR"/>
        </w:rPr>
        <w:t>érification mobilise</w:t>
      </w:r>
      <w:r w:rsidR="002807DA" w:rsidRPr="007976E9">
        <w:rPr>
          <w:rFonts w:ascii="Times New Roman" w:hAnsi="Times New Roman" w:cs="Times New Roman"/>
          <w:sz w:val="20"/>
          <w:lang w:val="fr-FR"/>
        </w:rPr>
        <w:t xml:space="preserve"> au moins deux spécialistes. Les candidatures retenues seront soumises à l’avis de non objection du ministère </w:t>
      </w:r>
      <w:r w:rsidRPr="007976E9">
        <w:rPr>
          <w:rFonts w:ascii="Times New Roman" w:hAnsi="Times New Roman" w:cs="Times New Roman"/>
          <w:sz w:val="20"/>
          <w:lang w:val="fr-FR"/>
        </w:rPr>
        <w:t xml:space="preserve">et de la Banque Mondiale </w:t>
      </w:r>
      <w:r w:rsidR="002807DA" w:rsidRPr="007976E9">
        <w:rPr>
          <w:rFonts w:ascii="Times New Roman" w:hAnsi="Times New Roman" w:cs="Times New Roman"/>
          <w:sz w:val="20"/>
          <w:lang w:val="fr-FR"/>
        </w:rPr>
        <w:t>avant le début des travaux des experts.</w:t>
      </w:r>
    </w:p>
    <w:p w:rsidR="002807DA" w:rsidRPr="007976E9" w:rsidRDefault="002807DA" w:rsidP="007976E9">
      <w:pPr>
        <w:spacing w:before="120" w:after="120" w:line="288" w:lineRule="auto"/>
        <w:rPr>
          <w:rFonts w:ascii="Times New Roman" w:hAnsi="Times New Roman" w:cs="Times New Roman"/>
          <w:b/>
          <w:bCs/>
          <w:i/>
          <w:iCs/>
          <w:sz w:val="20"/>
          <w:lang w:val="fr-FR"/>
        </w:rPr>
      </w:pPr>
      <w:r w:rsidRPr="007976E9">
        <w:rPr>
          <w:rFonts w:ascii="Times New Roman" w:hAnsi="Times New Roman" w:cs="Times New Roman"/>
          <w:b/>
          <w:bCs/>
          <w:i/>
          <w:iCs/>
          <w:sz w:val="20"/>
          <w:u w:val="single"/>
          <w:lang w:val="fr-FR"/>
        </w:rPr>
        <w:t>Un spécialiste en vérification et/ou suivi et évaluation, chef de mission avec le profil suivant</w:t>
      </w:r>
      <w:r w:rsidRPr="007976E9">
        <w:rPr>
          <w:rFonts w:ascii="Times New Roman" w:hAnsi="Times New Roman" w:cs="Times New Roman"/>
          <w:b/>
          <w:bCs/>
          <w:i/>
          <w:iCs/>
          <w:sz w:val="20"/>
          <w:lang w:val="fr-FR"/>
        </w:rPr>
        <w:t xml:space="preserve"> : </w:t>
      </w:r>
    </w:p>
    <w:p w:rsidR="002807DA" w:rsidRPr="007976E9" w:rsidRDefault="002807DA" w:rsidP="007976E9">
      <w:pPr>
        <w:numPr>
          <w:ilvl w:val="0"/>
          <w:numId w:val="1"/>
        </w:num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Diplôme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universitaire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en économie, sociologie, développement, statistiques, sciences sociales ou autre domaine pertinent (niveau maîtrise ou équivalent) ; </w:t>
      </w:r>
    </w:p>
    <w:p w:rsidR="002807DA" w:rsidRPr="007976E9" w:rsidRDefault="002807DA" w:rsidP="007976E9">
      <w:pPr>
        <w:numPr>
          <w:ilvl w:val="0"/>
          <w:numId w:val="1"/>
        </w:num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Expérience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professionnelle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pertinente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d’au moins 10 ans dans le domaine de la vérification, de l’audit et/ou suivi et évaluation ; </w:t>
      </w:r>
    </w:p>
    <w:p w:rsidR="002807DA" w:rsidRPr="007976E9" w:rsidRDefault="002807DA" w:rsidP="007976E9">
      <w:pPr>
        <w:numPr>
          <w:ilvl w:val="0"/>
          <w:numId w:val="1"/>
        </w:num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Expérience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dans les indicateurs de suivi des projets dans le secteur de </w:t>
      </w:r>
      <w:r w:rsidR="00C7255C" w:rsidRPr="007976E9">
        <w:rPr>
          <w:rFonts w:ascii="Times New Roman" w:hAnsi="Times New Roman" w:cs="Times New Roman"/>
          <w:sz w:val="20"/>
          <w:lang w:val="fr-FR"/>
        </w:rPr>
        <w:t>l’éducation ;</w:t>
      </w:r>
    </w:p>
    <w:p w:rsidR="00B615AA" w:rsidRPr="007976E9" w:rsidRDefault="00B615AA" w:rsidP="007976E9">
      <w:pPr>
        <w:pStyle w:val="Paragraphedeliste"/>
        <w:numPr>
          <w:ilvl w:val="0"/>
          <w:numId w:val="1"/>
        </w:numPr>
        <w:autoSpaceDE w:val="0"/>
        <w:autoSpaceDN w:val="0"/>
        <w:adjustRightInd w:val="0"/>
        <w:spacing w:before="120" w:after="120" w:line="288" w:lineRule="auto"/>
        <w:contextualSpacing w:val="0"/>
        <w:jc w:val="both"/>
        <w:rPr>
          <w:rFonts w:ascii="Times New Roman" w:eastAsia="Times New Roman" w:hAnsi="Times New Roman" w:cs="Times New Roman"/>
          <w:sz w:val="20"/>
          <w:lang w:val="fr-FR"/>
        </w:rPr>
      </w:pPr>
      <w:r w:rsidRPr="007976E9">
        <w:rPr>
          <w:rFonts w:ascii="Times New Roman" w:eastAsia="Times New Roman" w:hAnsi="Times New Roman" w:cs="Times New Roman"/>
          <w:sz w:val="20"/>
          <w:lang w:val="fr-FR"/>
        </w:rPr>
        <w:t>Avoir des expériences pour la gestion d’une équipe pour les descentes sur terrain</w:t>
      </w:r>
      <w:r w:rsidR="00340733" w:rsidRPr="007976E9">
        <w:rPr>
          <w:rFonts w:ascii="Times New Roman" w:eastAsia="Times New Roman" w:hAnsi="Times New Roman" w:cs="Times New Roman"/>
          <w:sz w:val="20"/>
          <w:lang w:val="fr-FR"/>
        </w:rPr>
        <w:t> ;</w:t>
      </w:r>
    </w:p>
    <w:p w:rsidR="006A6086" w:rsidRPr="007976E9" w:rsidRDefault="006A6086" w:rsidP="007976E9">
      <w:pPr>
        <w:pStyle w:val="Paragraphedeliste"/>
        <w:numPr>
          <w:ilvl w:val="0"/>
          <w:numId w:val="1"/>
        </w:numPr>
        <w:autoSpaceDE w:val="0"/>
        <w:autoSpaceDN w:val="0"/>
        <w:adjustRightInd w:val="0"/>
        <w:spacing w:before="120" w:after="120" w:line="288" w:lineRule="auto"/>
        <w:contextualSpacing w:val="0"/>
        <w:jc w:val="both"/>
        <w:rPr>
          <w:rFonts w:ascii="Times New Roman" w:eastAsia="Times New Roman" w:hAnsi="Times New Roman" w:cs="Times New Roman"/>
          <w:sz w:val="20"/>
          <w:lang w:val="fr-FR"/>
        </w:rPr>
      </w:pPr>
      <w:r w:rsidRPr="007976E9">
        <w:rPr>
          <w:rFonts w:ascii="Times New Roman" w:hAnsi="Times New Roman" w:cs="Times New Roman"/>
          <w:sz w:val="20"/>
          <w:lang w:val="fr-FR"/>
        </w:rPr>
        <w:t xml:space="preserve">Expertise en </w:t>
      </w:r>
      <w:r w:rsidR="00C7255C" w:rsidRPr="007976E9">
        <w:rPr>
          <w:rFonts w:ascii="Times New Roman" w:hAnsi="Times New Roman" w:cs="Times New Roman"/>
          <w:sz w:val="20"/>
          <w:lang w:val="fr-FR"/>
        </w:rPr>
        <w:t>échantillonnage</w:t>
      </w:r>
      <w:r w:rsidRPr="007976E9">
        <w:rPr>
          <w:rFonts w:ascii="Times New Roman" w:hAnsi="Times New Roman" w:cs="Times New Roman"/>
          <w:sz w:val="20"/>
          <w:lang w:val="fr-FR"/>
        </w:rPr>
        <w:t xml:space="preserve"> et analyse de données qualitatives et quant</w:t>
      </w:r>
      <w:r w:rsidR="007976E9">
        <w:rPr>
          <w:rFonts w:ascii="Times New Roman" w:hAnsi="Times New Roman" w:cs="Times New Roman"/>
          <w:sz w:val="20"/>
          <w:lang w:val="fr-FR"/>
        </w:rPr>
        <w:t>itati</w:t>
      </w:r>
      <w:r w:rsidRPr="007976E9">
        <w:rPr>
          <w:rFonts w:ascii="Times New Roman" w:hAnsi="Times New Roman" w:cs="Times New Roman"/>
          <w:sz w:val="20"/>
          <w:lang w:val="fr-FR"/>
        </w:rPr>
        <w:t>ves</w:t>
      </w:r>
    </w:p>
    <w:p w:rsidR="002807DA" w:rsidRPr="007976E9" w:rsidRDefault="002807DA" w:rsidP="007976E9">
      <w:pPr>
        <w:numPr>
          <w:ilvl w:val="0"/>
          <w:numId w:val="1"/>
        </w:num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Connaissance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du contexte local </w:t>
      </w:r>
      <w:r w:rsidR="0072772A" w:rsidRPr="007976E9">
        <w:rPr>
          <w:rFonts w:ascii="Times New Roman" w:hAnsi="Times New Roman" w:cs="Times New Roman"/>
          <w:sz w:val="20"/>
          <w:lang w:val="fr-FR"/>
        </w:rPr>
        <w:t>djiboutien</w:t>
      </w:r>
      <w:r w:rsidRPr="007976E9">
        <w:rPr>
          <w:rFonts w:ascii="Times New Roman" w:hAnsi="Times New Roman" w:cs="Times New Roman"/>
          <w:sz w:val="20"/>
          <w:lang w:val="fr-FR"/>
        </w:rPr>
        <w:t xml:space="preserve"> (nécessaire) ; </w:t>
      </w:r>
    </w:p>
    <w:p w:rsidR="002807DA" w:rsidRPr="007976E9" w:rsidRDefault="002807DA" w:rsidP="007976E9">
      <w:pPr>
        <w:numPr>
          <w:ilvl w:val="0"/>
          <w:numId w:val="1"/>
        </w:num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 xml:space="preserve">Maitrise du Français (nécessaire) ; </w:t>
      </w:r>
    </w:p>
    <w:p w:rsidR="002807DA" w:rsidRPr="007976E9" w:rsidRDefault="002807DA" w:rsidP="007976E9">
      <w:pPr>
        <w:numPr>
          <w:ilvl w:val="0"/>
          <w:numId w:val="1"/>
        </w:num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Connaissance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des institutions financières internationales (importante). </w:t>
      </w:r>
    </w:p>
    <w:p w:rsidR="002807DA" w:rsidRPr="007976E9" w:rsidRDefault="002807DA" w:rsidP="007976E9">
      <w:pPr>
        <w:spacing w:before="120" w:after="120" w:line="288" w:lineRule="auto"/>
        <w:jc w:val="both"/>
        <w:rPr>
          <w:rFonts w:ascii="Times New Roman" w:hAnsi="Times New Roman" w:cs="Times New Roman"/>
          <w:b/>
          <w:bCs/>
          <w:sz w:val="20"/>
          <w:lang w:val="fr-FR"/>
        </w:rPr>
      </w:pPr>
      <w:r w:rsidRPr="007976E9">
        <w:rPr>
          <w:rFonts w:ascii="Times New Roman" w:hAnsi="Times New Roman" w:cs="Times New Roman"/>
          <w:b/>
          <w:bCs/>
          <w:i/>
          <w:iCs/>
          <w:sz w:val="20"/>
          <w:u w:val="single"/>
          <w:lang w:val="fr-FR"/>
        </w:rPr>
        <w:t>Un spécialiste en éducation : et/</w:t>
      </w:r>
      <w:r w:rsidRPr="007976E9">
        <w:rPr>
          <w:rFonts w:ascii="Times New Roman" w:hAnsi="Times New Roman" w:cs="Times New Roman"/>
          <w:b/>
          <w:bCs/>
          <w:sz w:val="20"/>
          <w:u w:val="single"/>
          <w:lang w:val="fr-FR"/>
        </w:rPr>
        <w:t>ou dans le sous-secteur du préscolaire avec le profil suivant</w:t>
      </w:r>
      <w:r w:rsidRPr="007976E9">
        <w:rPr>
          <w:rFonts w:ascii="Times New Roman" w:hAnsi="Times New Roman" w:cs="Times New Roman"/>
          <w:b/>
          <w:bCs/>
          <w:sz w:val="20"/>
          <w:lang w:val="fr-FR"/>
        </w:rPr>
        <w:t xml:space="preserve"> : -</w:t>
      </w:r>
    </w:p>
    <w:p w:rsidR="002807DA" w:rsidRPr="007976E9" w:rsidRDefault="002807DA" w:rsidP="007976E9">
      <w:pPr>
        <w:numPr>
          <w:ilvl w:val="0"/>
          <w:numId w:val="1"/>
        </w:num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Diplôme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universitaire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en sociologie, éducation, économie, développement et/ou autre domaine pertinent (niveau maîtrise ou équivalent) ; </w:t>
      </w:r>
    </w:p>
    <w:p w:rsidR="002807DA" w:rsidRPr="007976E9" w:rsidRDefault="002807DA" w:rsidP="007976E9">
      <w:pPr>
        <w:numPr>
          <w:ilvl w:val="0"/>
          <w:numId w:val="1"/>
        </w:num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Expérience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professionnelle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pertinente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d’au moins 5 ans dans le secteur de l’éducation/et/ou préscolaire </w:t>
      </w:r>
    </w:p>
    <w:p w:rsidR="002807DA" w:rsidRPr="007976E9" w:rsidRDefault="002807DA" w:rsidP="007976E9">
      <w:pPr>
        <w:numPr>
          <w:ilvl w:val="0"/>
          <w:numId w:val="1"/>
        </w:num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Connaissance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du contexte local </w:t>
      </w:r>
      <w:r w:rsidR="0072772A" w:rsidRPr="007976E9">
        <w:rPr>
          <w:rFonts w:ascii="Times New Roman" w:hAnsi="Times New Roman" w:cs="Times New Roman"/>
          <w:sz w:val="20"/>
          <w:lang w:val="fr-FR"/>
        </w:rPr>
        <w:t>djiboutien</w:t>
      </w:r>
      <w:r w:rsidRPr="007976E9">
        <w:rPr>
          <w:rFonts w:ascii="Times New Roman" w:hAnsi="Times New Roman" w:cs="Times New Roman"/>
          <w:sz w:val="20"/>
          <w:lang w:val="fr-FR"/>
        </w:rPr>
        <w:t xml:space="preserve"> (nécessaire) ; </w:t>
      </w:r>
    </w:p>
    <w:p w:rsidR="002807DA" w:rsidRPr="007976E9" w:rsidRDefault="002807DA" w:rsidP="007976E9">
      <w:pPr>
        <w:numPr>
          <w:ilvl w:val="0"/>
          <w:numId w:val="1"/>
        </w:num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 xml:space="preserve">Maitrise du Français (nécessaire) ; </w:t>
      </w:r>
    </w:p>
    <w:p w:rsidR="002807DA" w:rsidRPr="007976E9" w:rsidRDefault="002807DA" w:rsidP="007976E9">
      <w:pPr>
        <w:numPr>
          <w:ilvl w:val="0"/>
          <w:numId w:val="1"/>
        </w:num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Connaissance</w:t>
      </w:r>
      <w:r w:rsidR="00F40593" w:rsidRPr="007976E9">
        <w:rPr>
          <w:rFonts w:ascii="Times New Roman" w:hAnsi="Times New Roman" w:cs="Times New Roman"/>
          <w:sz w:val="20"/>
          <w:lang w:val="fr-FR"/>
        </w:rPr>
        <w:t>s</w:t>
      </w:r>
      <w:r w:rsidRPr="007976E9">
        <w:rPr>
          <w:rFonts w:ascii="Times New Roman" w:hAnsi="Times New Roman" w:cs="Times New Roman"/>
          <w:sz w:val="20"/>
          <w:lang w:val="fr-FR"/>
        </w:rPr>
        <w:t xml:space="preserve"> des institutions financières internationales (importante). </w:t>
      </w:r>
    </w:p>
    <w:p w:rsidR="002C1B42" w:rsidRDefault="002C1B42" w:rsidP="007976E9">
      <w:pPr>
        <w:spacing w:before="120" w:after="120" w:line="288" w:lineRule="auto"/>
        <w:ind w:left="360"/>
        <w:jc w:val="both"/>
        <w:rPr>
          <w:rFonts w:ascii="Times New Roman" w:hAnsi="Times New Roman" w:cs="Times New Roman"/>
          <w:sz w:val="20"/>
          <w:lang w:val="fr-FR"/>
        </w:rPr>
      </w:pPr>
      <w:r w:rsidRPr="007976E9">
        <w:rPr>
          <w:rFonts w:ascii="Times New Roman" w:hAnsi="Times New Roman" w:cs="Times New Roman"/>
          <w:sz w:val="20"/>
          <w:lang w:val="fr-FR"/>
        </w:rPr>
        <w:t>Le profil du spécialiste en Education doit être adapté en fonction des indicateurs d</w:t>
      </w:r>
      <w:r w:rsidR="00453EA0" w:rsidRPr="007976E9">
        <w:rPr>
          <w:rFonts w:ascii="Times New Roman" w:hAnsi="Times New Roman" w:cs="Times New Roman"/>
          <w:sz w:val="20"/>
          <w:lang w:val="fr-FR"/>
        </w:rPr>
        <w:t>es résultats à vérifier dans les sous-secteurs comme le préscolaire, l’évaluation etc…</w:t>
      </w:r>
    </w:p>
    <w:p w:rsidR="002807DA" w:rsidRPr="007976E9" w:rsidRDefault="007976E9" w:rsidP="002C1B42">
      <w:pPr>
        <w:pStyle w:val="Paragraphedeliste"/>
        <w:numPr>
          <w:ilvl w:val="0"/>
          <w:numId w:val="2"/>
        </w:numPr>
        <w:rPr>
          <w:rFonts w:cstheme="minorHAnsi"/>
          <w:b/>
          <w:bCs/>
          <w:sz w:val="24"/>
          <w:szCs w:val="28"/>
          <w:u w:val="single"/>
          <w:lang w:val="fr-FR"/>
        </w:rPr>
      </w:pPr>
      <w:r>
        <w:rPr>
          <w:rFonts w:cstheme="minorHAnsi"/>
          <w:b/>
          <w:bCs/>
          <w:sz w:val="24"/>
          <w:szCs w:val="28"/>
          <w:u w:val="single"/>
          <w:lang w:val="fr-FR"/>
        </w:rPr>
        <w:t>É</w:t>
      </w:r>
      <w:r w:rsidR="002807DA" w:rsidRPr="007976E9">
        <w:rPr>
          <w:rFonts w:cstheme="minorHAnsi"/>
          <w:b/>
          <w:bCs/>
          <w:sz w:val="24"/>
          <w:szCs w:val="28"/>
          <w:u w:val="single"/>
          <w:lang w:val="fr-FR"/>
        </w:rPr>
        <w:t>CH</w:t>
      </w:r>
      <w:r>
        <w:rPr>
          <w:rFonts w:cstheme="minorHAnsi"/>
          <w:b/>
          <w:bCs/>
          <w:sz w:val="24"/>
          <w:szCs w:val="28"/>
          <w:u w:val="single"/>
          <w:lang w:val="fr-FR"/>
        </w:rPr>
        <w:t>É</w:t>
      </w:r>
      <w:r w:rsidR="002807DA" w:rsidRPr="007976E9">
        <w:rPr>
          <w:rFonts w:cstheme="minorHAnsi"/>
          <w:b/>
          <w:bCs/>
          <w:sz w:val="24"/>
          <w:szCs w:val="28"/>
          <w:u w:val="single"/>
          <w:lang w:val="fr-FR"/>
        </w:rPr>
        <w:t xml:space="preserve">ANCES </w:t>
      </w:r>
    </w:p>
    <w:p w:rsidR="002807DA" w:rsidRPr="007976E9" w:rsidRDefault="002C1B42" w:rsidP="007976E9">
      <w:pPr>
        <w:spacing w:before="120" w:after="120" w:line="288" w:lineRule="auto"/>
        <w:jc w:val="both"/>
        <w:rPr>
          <w:rFonts w:ascii="Times New Roman" w:hAnsi="Times New Roman" w:cs="Times New Roman"/>
          <w:sz w:val="20"/>
          <w:lang w:val="fr-FR"/>
        </w:rPr>
      </w:pPr>
      <w:r w:rsidRPr="007976E9">
        <w:rPr>
          <w:rFonts w:ascii="Times New Roman" w:hAnsi="Times New Roman" w:cs="Times New Roman"/>
          <w:sz w:val="20"/>
          <w:lang w:val="fr-FR"/>
        </w:rPr>
        <w:t>Les résultats du Projet</w:t>
      </w:r>
      <w:r w:rsidR="002807DA" w:rsidRPr="007976E9">
        <w:rPr>
          <w:rFonts w:ascii="Times New Roman" w:hAnsi="Times New Roman" w:cs="Times New Roman"/>
          <w:sz w:val="20"/>
          <w:lang w:val="fr-FR"/>
        </w:rPr>
        <w:t xml:space="preserve"> (hormis les résultats </w:t>
      </w:r>
      <w:r w:rsidR="00E62DE4" w:rsidRPr="007976E9">
        <w:rPr>
          <w:rFonts w:ascii="Times New Roman" w:hAnsi="Times New Roman" w:cs="Times New Roman"/>
          <w:sz w:val="20"/>
          <w:lang w:val="fr-FR"/>
        </w:rPr>
        <w:t>déjà vérifiés et validés</w:t>
      </w:r>
      <w:r w:rsidR="002807DA" w:rsidRPr="007976E9">
        <w:rPr>
          <w:rFonts w:ascii="Times New Roman" w:hAnsi="Times New Roman" w:cs="Times New Roman"/>
          <w:sz w:val="20"/>
          <w:lang w:val="fr-FR"/>
        </w:rPr>
        <w:t xml:space="preserve">) seront vérifiés annuellement et reportés </w:t>
      </w:r>
      <w:r w:rsidR="00E62DE4" w:rsidRPr="007976E9">
        <w:rPr>
          <w:rFonts w:ascii="Times New Roman" w:hAnsi="Times New Roman" w:cs="Times New Roman"/>
          <w:sz w:val="20"/>
          <w:lang w:val="fr-FR"/>
        </w:rPr>
        <w:t xml:space="preserve">pour la période 2026-2027, </w:t>
      </w:r>
      <w:r w:rsidR="0092084A" w:rsidRPr="007976E9">
        <w:rPr>
          <w:rFonts w:ascii="Times New Roman" w:hAnsi="Times New Roman" w:cs="Times New Roman"/>
          <w:sz w:val="20"/>
          <w:lang w:val="fr-FR"/>
        </w:rPr>
        <w:t>une durée</w:t>
      </w:r>
      <w:r w:rsidR="00E62DE4" w:rsidRPr="007976E9">
        <w:rPr>
          <w:rFonts w:ascii="Times New Roman" w:hAnsi="Times New Roman" w:cs="Times New Roman"/>
          <w:sz w:val="20"/>
          <w:lang w:val="fr-FR"/>
        </w:rPr>
        <w:t xml:space="preserve"> maximale</w:t>
      </w:r>
      <w:r w:rsidR="0092084A" w:rsidRPr="007976E9">
        <w:rPr>
          <w:rFonts w:ascii="Times New Roman" w:hAnsi="Times New Roman" w:cs="Times New Roman"/>
          <w:sz w:val="20"/>
          <w:lang w:val="fr-FR"/>
        </w:rPr>
        <w:t xml:space="preserve"> de </w:t>
      </w:r>
      <w:r w:rsidR="0092084A" w:rsidRPr="00101DAB">
        <w:rPr>
          <w:rFonts w:ascii="Times New Roman" w:hAnsi="Times New Roman" w:cs="Times New Roman"/>
          <w:b/>
          <w:sz w:val="20"/>
          <w:lang w:val="fr-FR"/>
        </w:rPr>
        <w:t>deux années</w:t>
      </w:r>
      <w:r w:rsidR="00E62DE4" w:rsidRPr="007976E9">
        <w:rPr>
          <w:rFonts w:ascii="Times New Roman" w:hAnsi="Times New Roman" w:cs="Times New Roman"/>
          <w:sz w:val="20"/>
          <w:lang w:val="fr-FR"/>
        </w:rPr>
        <w:t xml:space="preserve">, soit </w:t>
      </w:r>
      <w:r w:rsidR="00E62DE4" w:rsidRPr="00101DAB">
        <w:rPr>
          <w:rFonts w:ascii="Times New Roman" w:hAnsi="Times New Roman" w:cs="Times New Roman"/>
          <w:b/>
          <w:sz w:val="20"/>
          <w:lang w:val="fr-FR"/>
        </w:rPr>
        <w:t>2 à 4 rapports de vérification de 10 à 15 jours chacun</w:t>
      </w:r>
      <w:r w:rsidR="00C7255C" w:rsidRPr="007976E9">
        <w:rPr>
          <w:rFonts w:ascii="Times New Roman" w:hAnsi="Times New Roman" w:cs="Times New Roman"/>
          <w:sz w:val="20"/>
          <w:lang w:val="fr-FR"/>
        </w:rPr>
        <w:t>.</w:t>
      </w:r>
      <w:r w:rsidR="002807DA" w:rsidRPr="007976E9">
        <w:rPr>
          <w:rFonts w:ascii="Times New Roman" w:hAnsi="Times New Roman" w:cs="Times New Roman"/>
          <w:sz w:val="20"/>
          <w:lang w:val="fr-FR"/>
        </w:rPr>
        <w:t xml:space="preserve"> Le programme détaillé de chaque mission sera établi en consu</w:t>
      </w:r>
      <w:r w:rsidRPr="007976E9">
        <w:rPr>
          <w:rFonts w:ascii="Times New Roman" w:hAnsi="Times New Roman" w:cs="Times New Roman"/>
          <w:sz w:val="20"/>
          <w:lang w:val="fr-FR"/>
        </w:rPr>
        <w:t>ltation avec le Ministère de l’E</w:t>
      </w:r>
      <w:r w:rsidR="002807DA" w:rsidRPr="007976E9">
        <w:rPr>
          <w:rFonts w:ascii="Times New Roman" w:hAnsi="Times New Roman" w:cs="Times New Roman"/>
          <w:sz w:val="20"/>
          <w:lang w:val="fr-FR"/>
        </w:rPr>
        <w:t xml:space="preserve">ducation </w:t>
      </w:r>
      <w:r w:rsidRPr="007976E9">
        <w:rPr>
          <w:rFonts w:ascii="Times New Roman" w:hAnsi="Times New Roman" w:cs="Times New Roman"/>
          <w:sz w:val="20"/>
          <w:lang w:val="fr-FR"/>
        </w:rPr>
        <w:t xml:space="preserve">Nationale et de la Formation Professionnelle (MENFOP) </w:t>
      </w:r>
      <w:r w:rsidR="002807DA" w:rsidRPr="007976E9">
        <w:rPr>
          <w:rFonts w:ascii="Times New Roman" w:hAnsi="Times New Roman" w:cs="Times New Roman"/>
          <w:sz w:val="20"/>
          <w:lang w:val="fr-FR"/>
        </w:rPr>
        <w:t xml:space="preserve">et la Banque mondiale. </w:t>
      </w:r>
    </w:p>
    <w:p w:rsidR="009E7097" w:rsidRPr="007976E9" w:rsidRDefault="009E7097" w:rsidP="007976E9">
      <w:pPr>
        <w:spacing w:before="120" w:after="120" w:line="288" w:lineRule="auto"/>
        <w:jc w:val="both"/>
        <w:rPr>
          <w:rFonts w:ascii="Times New Roman" w:hAnsi="Times New Roman" w:cs="Times New Roman"/>
          <w:sz w:val="20"/>
          <w:lang w:val="fr-FR"/>
        </w:rPr>
      </w:pPr>
    </w:p>
    <w:p w:rsidR="009E7097" w:rsidRDefault="009E7097" w:rsidP="002C1B42">
      <w:pPr>
        <w:jc w:val="both"/>
        <w:rPr>
          <w:rFonts w:ascii="Times New Roman" w:hAnsi="Times New Roman" w:cs="Times New Roman"/>
          <w:lang w:val="fr-FR"/>
        </w:rPr>
      </w:pPr>
    </w:p>
    <w:p w:rsidR="00101DAB" w:rsidRDefault="00101DAB" w:rsidP="002C1B42">
      <w:pPr>
        <w:jc w:val="both"/>
        <w:rPr>
          <w:rFonts w:ascii="Times New Roman" w:hAnsi="Times New Roman" w:cs="Times New Roman"/>
          <w:lang w:val="fr-FR"/>
        </w:rPr>
      </w:pPr>
    </w:p>
    <w:p w:rsidR="009E7097" w:rsidRPr="00392B6E" w:rsidRDefault="009E7097" w:rsidP="002C1B42">
      <w:pPr>
        <w:jc w:val="both"/>
        <w:rPr>
          <w:rFonts w:ascii="Times New Roman" w:hAnsi="Times New Roman" w:cs="Times New Roman"/>
          <w:lang w:val="fr-FR"/>
        </w:rPr>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88"/>
        <w:gridCol w:w="3827"/>
        <w:gridCol w:w="2551"/>
        <w:gridCol w:w="2496"/>
      </w:tblGrid>
      <w:tr w:rsidR="005701D9" w:rsidRPr="00101DAB" w:rsidTr="00101DAB">
        <w:trPr>
          <w:trHeight w:val="572"/>
        </w:trPr>
        <w:tc>
          <w:tcPr>
            <w:tcW w:w="9862" w:type="dxa"/>
            <w:gridSpan w:val="4"/>
            <w:shd w:val="clear" w:color="auto" w:fill="F2F2F2" w:themeFill="background1" w:themeFillShade="F2"/>
            <w:noWrap/>
            <w:vAlign w:val="center"/>
            <w:hideMark/>
          </w:tcPr>
          <w:p w:rsidR="005701D9" w:rsidRPr="00101DAB" w:rsidRDefault="005701D9" w:rsidP="009D13F4">
            <w:pPr>
              <w:spacing w:after="0" w:line="240" w:lineRule="auto"/>
              <w:jc w:val="center"/>
              <w:rPr>
                <w:rFonts w:ascii="Arial" w:eastAsia="Times New Roman" w:hAnsi="Arial" w:cs="Arial"/>
                <w:b/>
                <w:bCs/>
                <w:sz w:val="20"/>
                <w:szCs w:val="32"/>
                <w:lang w:val="fr-FR" w:eastAsia="fr-FR"/>
              </w:rPr>
            </w:pPr>
            <w:r w:rsidRPr="00101DAB">
              <w:rPr>
                <w:rFonts w:ascii="Arial" w:eastAsia="Times New Roman" w:hAnsi="Arial" w:cs="Arial"/>
                <w:b/>
                <w:bCs/>
                <w:sz w:val="24"/>
                <w:szCs w:val="32"/>
                <w:lang w:val="fr-FR" w:eastAsia="fr-FR"/>
              </w:rPr>
              <w:t>CHRONOGRAMME DE VERIFICATION DES CBP</w:t>
            </w:r>
          </w:p>
        </w:tc>
      </w:tr>
      <w:tr w:rsidR="005701D9" w:rsidRPr="00101DAB" w:rsidTr="00101DAB">
        <w:trPr>
          <w:trHeight w:val="572"/>
        </w:trPr>
        <w:tc>
          <w:tcPr>
            <w:tcW w:w="9862" w:type="dxa"/>
            <w:gridSpan w:val="4"/>
            <w:shd w:val="clear" w:color="auto" w:fill="D9D9D9" w:themeFill="background1" w:themeFillShade="D9"/>
            <w:vAlign w:val="center"/>
            <w:hideMark/>
          </w:tcPr>
          <w:p w:rsidR="005701D9" w:rsidRPr="00101DAB" w:rsidRDefault="005701D9" w:rsidP="009D13F4">
            <w:pPr>
              <w:spacing w:after="0" w:line="240" w:lineRule="auto"/>
              <w:jc w:val="center"/>
              <w:rPr>
                <w:rFonts w:ascii="Arial" w:eastAsia="Times New Roman" w:hAnsi="Arial" w:cs="Arial"/>
                <w:sz w:val="20"/>
                <w:lang w:val="fr-FR" w:eastAsia="fr-FR"/>
              </w:rPr>
            </w:pPr>
            <w:r w:rsidRPr="00101DAB">
              <w:rPr>
                <w:rFonts w:ascii="Arial" w:eastAsia="Times New Roman" w:hAnsi="Arial" w:cs="Arial"/>
                <w:lang w:val="fr-FR" w:eastAsia="fr-FR"/>
              </w:rPr>
              <w:t xml:space="preserve">Missions de vérifications planifiées pour l'AVI </w:t>
            </w:r>
          </w:p>
        </w:tc>
      </w:tr>
      <w:tr w:rsidR="005701D9" w:rsidRPr="00101DAB" w:rsidTr="00101DAB">
        <w:trPr>
          <w:trHeight w:val="572"/>
        </w:trPr>
        <w:tc>
          <w:tcPr>
            <w:tcW w:w="988" w:type="dxa"/>
            <w:shd w:val="clear" w:color="auto" w:fill="D9E2F3" w:themeFill="accent1" w:themeFillTint="33"/>
            <w:vAlign w:val="center"/>
            <w:hideMark/>
          </w:tcPr>
          <w:p w:rsidR="005701D9" w:rsidRPr="00101DAB" w:rsidRDefault="005701D9" w:rsidP="00101DAB">
            <w:pPr>
              <w:spacing w:after="0" w:line="240" w:lineRule="auto"/>
              <w:jc w:val="center"/>
              <w:rPr>
                <w:rFonts w:ascii="Calibri" w:eastAsia="Times New Roman" w:hAnsi="Calibri" w:cs="Calibri"/>
                <w:b/>
                <w:bCs/>
                <w:color w:val="000000"/>
                <w:lang w:eastAsia="fr-FR"/>
              </w:rPr>
            </w:pPr>
            <w:r w:rsidRPr="00101DAB">
              <w:rPr>
                <w:rFonts w:ascii="Calibri" w:eastAsia="Times New Roman" w:hAnsi="Calibri" w:cs="Calibri"/>
                <w:b/>
                <w:bCs/>
                <w:color w:val="000000"/>
                <w:lang w:eastAsia="fr-FR"/>
              </w:rPr>
              <w:t>CBP</w:t>
            </w:r>
          </w:p>
        </w:tc>
        <w:tc>
          <w:tcPr>
            <w:tcW w:w="3827" w:type="dxa"/>
            <w:shd w:val="clear" w:color="auto" w:fill="D9E2F3" w:themeFill="accent1" w:themeFillTint="33"/>
            <w:vAlign w:val="center"/>
            <w:hideMark/>
          </w:tcPr>
          <w:p w:rsidR="005701D9" w:rsidRPr="00101DAB" w:rsidRDefault="005701D9" w:rsidP="00101DAB">
            <w:pPr>
              <w:spacing w:after="0" w:line="240" w:lineRule="auto"/>
              <w:jc w:val="center"/>
              <w:rPr>
                <w:rFonts w:ascii="Calibri" w:eastAsia="Times New Roman" w:hAnsi="Calibri" w:cs="Calibri"/>
                <w:b/>
                <w:bCs/>
                <w:color w:val="000000"/>
                <w:lang w:eastAsia="fr-FR"/>
              </w:rPr>
            </w:pPr>
            <w:r w:rsidRPr="00101DAB">
              <w:rPr>
                <w:rFonts w:ascii="Calibri" w:eastAsia="Times New Roman" w:hAnsi="Calibri" w:cs="Calibri"/>
                <w:b/>
                <w:bCs/>
                <w:color w:val="000000"/>
                <w:lang w:eastAsia="fr-FR"/>
              </w:rPr>
              <w:t>Indicateurs</w:t>
            </w:r>
          </w:p>
        </w:tc>
        <w:tc>
          <w:tcPr>
            <w:tcW w:w="2551" w:type="dxa"/>
            <w:shd w:val="clear" w:color="auto" w:fill="D9E2F3" w:themeFill="accent1" w:themeFillTint="33"/>
            <w:vAlign w:val="center"/>
            <w:hideMark/>
          </w:tcPr>
          <w:p w:rsidR="005701D9" w:rsidRPr="00101DAB" w:rsidRDefault="005701D9" w:rsidP="00101DAB">
            <w:pPr>
              <w:spacing w:after="0" w:line="240" w:lineRule="auto"/>
              <w:jc w:val="center"/>
              <w:rPr>
                <w:rFonts w:ascii="Arial" w:eastAsia="Times New Roman" w:hAnsi="Arial" w:cs="Arial"/>
                <w:b/>
                <w:color w:val="000000"/>
                <w:lang w:eastAsia="fr-FR"/>
              </w:rPr>
            </w:pPr>
            <w:r w:rsidRPr="00101DAB">
              <w:rPr>
                <w:rFonts w:ascii="Arial" w:eastAsia="Times New Roman" w:hAnsi="Arial" w:cs="Arial"/>
                <w:b/>
                <w:color w:val="000000"/>
                <w:lang w:eastAsia="fr-FR"/>
              </w:rPr>
              <w:t>Période de vérification</w:t>
            </w:r>
          </w:p>
        </w:tc>
        <w:tc>
          <w:tcPr>
            <w:tcW w:w="2496" w:type="dxa"/>
            <w:shd w:val="clear" w:color="auto" w:fill="D9E2F3" w:themeFill="accent1" w:themeFillTint="33"/>
            <w:vAlign w:val="center"/>
            <w:hideMark/>
          </w:tcPr>
          <w:p w:rsidR="005701D9" w:rsidRPr="00101DAB" w:rsidRDefault="005701D9" w:rsidP="00101DAB">
            <w:pPr>
              <w:spacing w:after="0" w:line="240" w:lineRule="auto"/>
              <w:jc w:val="center"/>
              <w:rPr>
                <w:rFonts w:ascii="Arial" w:eastAsia="Times New Roman" w:hAnsi="Arial" w:cs="Arial"/>
                <w:b/>
                <w:color w:val="000000"/>
                <w:lang w:eastAsia="fr-FR"/>
              </w:rPr>
            </w:pPr>
            <w:r w:rsidRPr="00101DAB">
              <w:rPr>
                <w:rFonts w:ascii="Arial" w:eastAsia="Times New Roman" w:hAnsi="Arial" w:cs="Arial"/>
                <w:b/>
                <w:color w:val="000000"/>
                <w:lang w:eastAsia="fr-FR"/>
              </w:rPr>
              <w:t>Remise de rapport</w:t>
            </w:r>
          </w:p>
        </w:tc>
      </w:tr>
      <w:tr w:rsidR="005701D9" w:rsidRPr="00101DAB" w:rsidTr="009D13F4">
        <w:trPr>
          <w:trHeight w:val="572"/>
        </w:trPr>
        <w:tc>
          <w:tcPr>
            <w:tcW w:w="988" w:type="dxa"/>
            <w:vAlign w:val="center"/>
            <w:hideMark/>
          </w:tcPr>
          <w:p w:rsidR="005701D9" w:rsidRPr="00101DAB" w:rsidRDefault="005701D9" w:rsidP="00101DAB">
            <w:pPr>
              <w:spacing w:after="0" w:line="240" w:lineRule="auto"/>
              <w:jc w:val="center"/>
              <w:rPr>
                <w:rFonts w:ascii="Calibri" w:eastAsia="Times New Roman" w:hAnsi="Calibri" w:cs="Calibri"/>
                <w:color w:val="000000"/>
                <w:sz w:val="20"/>
                <w:lang w:eastAsia="fr-FR"/>
              </w:rPr>
            </w:pPr>
            <w:r w:rsidRPr="00101DAB">
              <w:rPr>
                <w:rFonts w:ascii="Calibri" w:eastAsia="Times New Roman" w:hAnsi="Calibri" w:cs="Calibri"/>
                <w:color w:val="000000"/>
                <w:sz w:val="20"/>
                <w:lang w:eastAsia="fr-FR"/>
              </w:rPr>
              <w:t>CBP 4.3</w:t>
            </w:r>
          </w:p>
        </w:tc>
        <w:tc>
          <w:tcPr>
            <w:tcW w:w="3827" w:type="dxa"/>
            <w:vAlign w:val="center"/>
            <w:hideMark/>
          </w:tcPr>
          <w:p w:rsidR="005701D9" w:rsidRPr="00101DAB" w:rsidRDefault="005701D9" w:rsidP="009D13F4">
            <w:pPr>
              <w:spacing w:after="0" w:line="240" w:lineRule="auto"/>
              <w:rPr>
                <w:rFonts w:ascii="Calibri" w:eastAsia="Times New Roman" w:hAnsi="Calibri" w:cs="Calibri"/>
                <w:color w:val="000000"/>
                <w:sz w:val="20"/>
                <w:lang w:val="fr-FR" w:eastAsia="fr-FR"/>
              </w:rPr>
            </w:pPr>
            <w:r w:rsidRPr="00101DAB">
              <w:rPr>
                <w:rFonts w:ascii="Calibri" w:eastAsia="Times New Roman" w:hAnsi="Calibri" w:cs="Calibri"/>
                <w:color w:val="000000"/>
                <w:sz w:val="20"/>
                <w:lang w:val="fr-FR" w:eastAsia="fr-FR"/>
              </w:rPr>
              <w:t>Indice de parité au collège</w:t>
            </w:r>
          </w:p>
        </w:tc>
        <w:tc>
          <w:tcPr>
            <w:tcW w:w="2551" w:type="dxa"/>
            <w:vAlign w:val="center"/>
            <w:hideMark/>
          </w:tcPr>
          <w:p w:rsidR="005701D9" w:rsidRPr="00101DAB" w:rsidRDefault="005701D9" w:rsidP="00101DAB">
            <w:pPr>
              <w:spacing w:after="0" w:line="240" w:lineRule="auto"/>
              <w:jc w:val="center"/>
              <w:rPr>
                <w:rFonts w:ascii="Calibri" w:eastAsia="Times New Roman" w:hAnsi="Calibri" w:cs="Calibri"/>
                <w:color w:val="000000"/>
                <w:sz w:val="20"/>
                <w:lang w:eastAsia="fr-FR"/>
              </w:rPr>
            </w:pPr>
            <w:r w:rsidRPr="00101DAB">
              <w:rPr>
                <w:rFonts w:ascii="Calibri" w:eastAsia="Times New Roman" w:hAnsi="Calibri" w:cs="Calibri"/>
                <w:color w:val="000000"/>
                <w:sz w:val="20"/>
                <w:lang w:eastAsia="fr-FR"/>
              </w:rPr>
              <w:t>Juillet 2026</w:t>
            </w:r>
          </w:p>
        </w:tc>
        <w:tc>
          <w:tcPr>
            <w:tcW w:w="2496" w:type="dxa"/>
            <w:vAlign w:val="center"/>
            <w:hideMark/>
          </w:tcPr>
          <w:p w:rsidR="005701D9" w:rsidRPr="00101DAB" w:rsidRDefault="005701D9" w:rsidP="00101DAB">
            <w:pPr>
              <w:spacing w:after="0" w:line="240" w:lineRule="auto"/>
              <w:jc w:val="center"/>
              <w:rPr>
                <w:rFonts w:ascii="Calibri" w:eastAsia="Times New Roman" w:hAnsi="Calibri" w:cs="Calibri"/>
                <w:color w:val="000000"/>
                <w:sz w:val="20"/>
                <w:lang w:eastAsia="fr-FR"/>
              </w:rPr>
            </w:pPr>
            <w:r w:rsidRPr="00101DAB">
              <w:rPr>
                <w:rFonts w:ascii="Calibri" w:eastAsia="Times New Roman" w:hAnsi="Calibri" w:cs="Calibri"/>
                <w:color w:val="000000"/>
                <w:sz w:val="20"/>
                <w:lang w:eastAsia="fr-FR"/>
              </w:rPr>
              <w:t>Ao</w:t>
            </w:r>
            <w:r w:rsidR="00101DAB">
              <w:rPr>
                <w:rFonts w:ascii="Calibri" w:eastAsia="Times New Roman" w:hAnsi="Calibri" w:cs="Calibri"/>
                <w:color w:val="000000"/>
                <w:sz w:val="20"/>
                <w:lang w:eastAsia="fr-FR"/>
              </w:rPr>
              <w:t>û</w:t>
            </w:r>
            <w:r w:rsidRPr="00101DAB">
              <w:rPr>
                <w:rFonts w:ascii="Calibri" w:eastAsia="Times New Roman" w:hAnsi="Calibri" w:cs="Calibri"/>
                <w:color w:val="000000"/>
                <w:sz w:val="20"/>
                <w:lang w:eastAsia="fr-FR"/>
              </w:rPr>
              <w:t>t 2026</w:t>
            </w:r>
          </w:p>
        </w:tc>
      </w:tr>
      <w:tr w:rsidR="005701D9" w:rsidRPr="00101DAB" w:rsidTr="009D13F4">
        <w:trPr>
          <w:trHeight w:val="572"/>
        </w:trPr>
        <w:tc>
          <w:tcPr>
            <w:tcW w:w="988" w:type="dxa"/>
            <w:vAlign w:val="center"/>
            <w:hideMark/>
          </w:tcPr>
          <w:p w:rsidR="005701D9" w:rsidRPr="00101DAB" w:rsidRDefault="005701D9" w:rsidP="00101DAB">
            <w:pPr>
              <w:spacing w:after="0" w:line="240" w:lineRule="auto"/>
              <w:jc w:val="center"/>
              <w:rPr>
                <w:rFonts w:ascii="Calibri" w:eastAsia="Times New Roman" w:hAnsi="Calibri" w:cs="Calibri"/>
                <w:color w:val="000000"/>
                <w:sz w:val="20"/>
                <w:lang w:eastAsia="fr-FR"/>
              </w:rPr>
            </w:pPr>
            <w:r w:rsidRPr="00101DAB">
              <w:rPr>
                <w:rFonts w:ascii="Calibri" w:eastAsia="Times New Roman" w:hAnsi="Calibri" w:cs="Calibri"/>
                <w:color w:val="000000"/>
                <w:sz w:val="20"/>
                <w:lang w:eastAsia="fr-FR"/>
              </w:rPr>
              <w:t>CBP 5.5a</w:t>
            </w:r>
          </w:p>
        </w:tc>
        <w:tc>
          <w:tcPr>
            <w:tcW w:w="3827" w:type="dxa"/>
            <w:vAlign w:val="center"/>
            <w:hideMark/>
          </w:tcPr>
          <w:p w:rsidR="005701D9" w:rsidRPr="00101DAB" w:rsidRDefault="005701D9" w:rsidP="009D13F4">
            <w:pPr>
              <w:spacing w:after="0" w:line="240" w:lineRule="auto"/>
              <w:rPr>
                <w:rFonts w:ascii="Calibri" w:eastAsia="Times New Roman" w:hAnsi="Calibri" w:cs="Calibri"/>
                <w:color w:val="000000"/>
                <w:sz w:val="20"/>
                <w:lang w:val="fr-FR" w:eastAsia="fr-FR"/>
              </w:rPr>
            </w:pPr>
            <w:r w:rsidRPr="00101DAB">
              <w:rPr>
                <w:rFonts w:ascii="Calibri" w:eastAsia="Times New Roman" w:hAnsi="Calibri" w:cs="Calibri"/>
                <w:color w:val="000000"/>
                <w:sz w:val="20"/>
                <w:lang w:val="fr-FR" w:eastAsia="fr-FR"/>
              </w:rPr>
              <w:t xml:space="preserve">Augmentation de % des élèves de la 2ème année atteignant le seuil minimal </w:t>
            </w:r>
          </w:p>
        </w:tc>
        <w:tc>
          <w:tcPr>
            <w:tcW w:w="2551" w:type="dxa"/>
            <w:vAlign w:val="center"/>
            <w:hideMark/>
          </w:tcPr>
          <w:p w:rsidR="005701D9" w:rsidRPr="00101DAB" w:rsidRDefault="005701D9" w:rsidP="00101DAB">
            <w:pPr>
              <w:spacing w:after="0" w:line="240" w:lineRule="auto"/>
              <w:jc w:val="center"/>
              <w:rPr>
                <w:rFonts w:ascii="Calibri" w:eastAsia="Times New Roman" w:hAnsi="Calibri" w:cs="Calibri"/>
                <w:color w:val="000000"/>
                <w:sz w:val="20"/>
                <w:lang w:eastAsia="fr-FR"/>
              </w:rPr>
            </w:pPr>
            <w:r w:rsidRPr="00101DAB">
              <w:rPr>
                <w:rFonts w:ascii="Calibri" w:eastAsia="Times New Roman" w:hAnsi="Calibri" w:cs="Calibri"/>
                <w:color w:val="000000"/>
                <w:sz w:val="20"/>
                <w:lang w:eastAsia="fr-FR"/>
              </w:rPr>
              <w:t>Mai 2026</w:t>
            </w:r>
          </w:p>
        </w:tc>
        <w:tc>
          <w:tcPr>
            <w:tcW w:w="2496" w:type="dxa"/>
            <w:vAlign w:val="center"/>
            <w:hideMark/>
          </w:tcPr>
          <w:p w:rsidR="005701D9" w:rsidRPr="00101DAB" w:rsidRDefault="005701D9" w:rsidP="00101DAB">
            <w:pPr>
              <w:spacing w:after="0" w:line="240" w:lineRule="auto"/>
              <w:jc w:val="center"/>
              <w:rPr>
                <w:rFonts w:ascii="Calibri" w:eastAsia="Times New Roman" w:hAnsi="Calibri" w:cs="Calibri"/>
                <w:color w:val="000000"/>
                <w:sz w:val="20"/>
                <w:lang w:eastAsia="fr-FR"/>
              </w:rPr>
            </w:pPr>
            <w:r w:rsidRPr="00101DAB">
              <w:rPr>
                <w:rFonts w:ascii="Calibri" w:eastAsia="Times New Roman" w:hAnsi="Calibri" w:cs="Calibri"/>
                <w:color w:val="000000"/>
                <w:sz w:val="20"/>
                <w:lang w:eastAsia="fr-FR"/>
              </w:rPr>
              <w:t>Juillet 2026</w:t>
            </w:r>
          </w:p>
        </w:tc>
      </w:tr>
      <w:tr w:rsidR="005701D9" w:rsidRPr="00101DAB" w:rsidTr="009D13F4">
        <w:trPr>
          <w:trHeight w:val="572"/>
        </w:trPr>
        <w:tc>
          <w:tcPr>
            <w:tcW w:w="988" w:type="dxa"/>
            <w:vAlign w:val="center"/>
            <w:hideMark/>
          </w:tcPr>
          <w:p w:rsidR="005701D9" w:rsidRPr="00101DAB" w:rsidRDefault="005701D9" w:rsidP="00101DAB">
            <w:pPr>
              <w:spacing w:after="0" w:line="240" w:lineRule="auto"/>
              <w:jc w:val="center"/>
              <w:rPr>
                <w:rFonts w:ascii="Calibri" w:eastAsia="Times New Roman" w:hAnsi="Calibri" w:cs="Calibri"/>
                <w:color w:val="000000"/>
                <w:sz w:val="20"/>
                <w:lang w:eastAsia="fr-FR"/>
              </w:rPr>
            </w:pPr>
            <w:r w:rsidRPr="00101DAB">
              <w:rPr>
                <w:rFonts w:ascii="Calibri" w:eastAsia="Times New Roman" w:hAnsi="Calibri" w:cs="Calibri"/>
                <w:color w:val="000000"/>
                <w:sz w:val="20"/>
                <w:lang w:eastAsia="fr-FR"/>
              </w:rPr>
              <w:t>CBP 5.5b</w:t>
            </w:r>
          </w:p>
        </w:tc>
        <w:tc>
          <w:tcPr>
            <w:tcW w:w="3827" w:type="dxa"/>
            <w:vAlign w:val="center"/>
            <w:hideMark/>
          </w:tcPr>
          <w:p w:rsidR="005701D9" w:rsidRPr="00101DAB" w:rsidRDefault="005701D9" w:rsidP="009D13F4">
            <w:pPr>
              <w:spacing w:after="0" w:line="240" w:lineRule="auto"/>
              <w:rPr>
                <w:rFonts w:ascii="Calibri" w:eastAsia="Times New Roman" w:hAnsi="Calibri" w:cs="Calibri"/>
                <w:color w:val="000000"/>
                <w:sz w:val="20"/>
                <w:lang w:val="fr-FR" w:eastAsia="fr-FR"/>
              </w:rPr>
            </w:pPr>
            <w:r w:rsidRPr="00101DAB">
              <w:rPr>
                <w:rFonts w:ascii="Calibri" w:eastAsia="Times New Roman" w:hAnsi="Calibri" w:cs="Calibri"/>
                <w:color w:val="000000"/>
                <w:sz w:val="20"/>
                <w:lang w:val="fr-FR" w:eastAsia="fr-FR"/>
              </w:rPr>
              <w:t>Partage des résultats des évaluations</w:t>
            </w:r>
          </w:p>
        </w:tc>
        <w:tc>
          <w:tcPr>
            <w:tcW w:w="2551" w:type="dxa"/>
            <w:vAlign w:val="center"/>
            <w:hideMark/>
          </w:tcPr>
          <w:p w:rsidR="005701D9" w:rsidRPr="00101DAB" w:rsidRDefault="005701D9" w:rsidP="00101DAB">
            <w:pPr>
              <w:spacing w:after="0" w:line="240" w:lineRule="auto"/>
              <w:jc w:val="center"/>
              <w:rPr>
                <w:rFonts w:ascii="Calibri" w:eastAsia="Times New Roman" w:hAnsi="Calibri" w:cs="Calibri"/>
                <w:color w:val="000000"/>
                <w:sz w:val="20"/>
                <w:lang w:eastAsia="fr-FR"/>
              </w:rPr>
            </w:pPr>
            <w:r w:rsidRPr="00101DAB">
              <w:rPr>
                <w:rFonts w:ascii="Calibri" w:eastAsia="Times New Roman" w:hAnsi="Calibri" w:cs="Calibri"/>
                <w:color w:val="000000"/>
                <w:sz w:val="20"/>
                <w:lang w:eastAsia="fr-FR"/>
              </w:rPr>
              <w:t>Mai 2026</w:t>
            </w:r>
          </w:p>
        </w:tc>
        <w:tc>
          <w:tcPr>
            <w:tcW w:w="2496" w:type="dxa"/>
            <w:vAlign w:val="center"/>
            <w:hideMark/>
          </w:tcPr>
          <w:p w:rsidR="005701D9" w:rsidRPr="00101DAB" w:rsidRDefault="005701D9" w:rsidP="00101DAB">
            <w:pPr>
              <w:spacing w:after="0" w:line="240" w:lineRule="auto"/>
              <w:jc w:val="center"/>
              <w:rPr>
                <w:rFonts w:ascii="Calibri" w:eastAsia="Times New Roman" w:hAnsi="Calibri" w:cs="Calibri"/>
                <w:color w:val="000000"/>
                <w:sz w:val="20"/>
                <w:lang w:eastAsia="fr-FR"/>
              </w:rPr>
            </w:pPr>
            <w:r w:rsidRPr="00101DAB">
              <w:rPr>
                <w:rFonts w:ascii="Calibri" w:eastAsia="Times New Roman" w:hAnsi="Calibri" w:cs="Calibri"/>
                <w:color w:val="000000"/>
                <w:sz w:val="20"/>
                <w:lang w:eastAsia="fr-FR"/>
              </w:rPr>
              <w:t>Juillet 2026</w:t>
            </w:r>
          </w:p>
        </w:tc>
      </w:tr>
    </w:tbl>
    <w:p w:rsidR="002807DA" w:rsidRPr="00392B6E" w:rsidRDefault="002807DA" w:rsidP="002807DA">
      <w:pPr>
        <w:rPr>
          <w:rFonts w:ascii="Times New Roman" w:hAnsi="Times New Roman" w:cs="Times New Roman"/>
          <w:lang w:val="fr-FR"/>
        </w:rPr>
      </w:pPr>
    </w:p>
    <w:p w:rsidR="002807DA" w:rsidRPr="00101DAB" w:rsidRDefault="008A4A26" w:rsidP="008A4A26">
      <w:pPr>
        <w:pStyle w:val="Paragraphedeliste"/>
        <w:numPr>
          <w:ilvl w:val="0"/>
          <w:numId w:val="2"/>
        </w:numPr>
        <w:rPr>
          <w:rFonts w:cstheme="minorHAnsi"/>
          <w:b/>
          <w:bCs/>
          <w:sz w:val="24"/>
          <w:szCs w:val="28"/>
          <w:u w:val="single"/>
          <w:lang w:val="fr-FR"/>
        </w:rPr>
      </w:pPr>
      <w:r w:rsidRPr="00101DAB">
        <w:rPr>
          <w:rFonts w:cstheme="minorHAnsi"/>
          <w:b/>
          <w:bCs/>
          <w:sz w:val="24"/>
          <w:szCs w:val="28"/>
          <w:u w:val="single"/>
          <w:lang w:val="fr-FR"/>
        </w:rPr>
        <w:t xml:space="preserve">Personnes contact </w:t>
      </w:r>
    </w:p>
    <w:p w:rsidR="008A4A26" w:rsidRPr="008A4A26" w:rsidRDefault="008A4A26" w:rsidP="002807DA">
      <w:pPr>
        <w:rPr>
          <w:rFonts w:ascii="Arial Narrow" w:hAnsi="Arial Narrow"/>
          <w:sz w:val="24"/>
          <w:szCs w:val="24"/>
          <w:lang w:val="fr-FR"/>
        </w:rPr>
      </w:pPr>
      <w:r w:rsidRPr="008A4A26">
        <w:rPr>
          <w:rFonts w:ascii="Arial Narrow" w:hAnsi="Arial Narrow"/>
          <w:sz w:val="24"/>
          <w:szCs w:val="24"/>
          <w:lang w:val="fr-FR"/>
        </w:rPr>
        <w:t>Les personnes contact sont :</w:t>
      </w:r>
    </w:p>
    <w:p w:rsidR="00D515FB" w:rsidRPr="00897E31" w:rsidRDefault="008A4A26" w:rsidP="002807DA">
      <w:pPr>
        <w:rPr>
          <w:rFonts w:ascii="Arial Narrow" w:hAnsi="Arial Narrow"/>
          <w:sz w:val="24"/>
          <w:szCs w:val="24"/>
          <w:lang w:val="fr-FR"/>
        </w:rPr>
      </w:pPr>
      <w:r w:rsidRPr="008A4A26">
        <w:rPr>
          <w:rFonts w:ascii="Arial Narrow" w:hAnsi="Arial Narrow"/>
          <w:sz w:val="24"/>
          <w:szCs w:val="24"/>
          <w:lang w:val="fr-FR"/>
        </w:rPr>
        <w:t xml:space="preserve">Monsieur MOHAMED ABDALLAH MAHYOUB, </w:t>
      </w:r>
      <w:r w:rsidR="00E62DE4">
        <w:rPr>
          <w:rFonts w:ascii="Arial Narrow" w:hAnsi="Arial Narrow"/>
          <w:sz w:val="24"/>
          <w:szCs w:val="24"/>
          <w:lang w:val="fr-FR"/>
        </w:rPr>
        <w:t xml:space="preserve">Secrétaire Général, </w:t>
      </w:r>
      <w:r w:rsidRPr="008A4A26">
        <w:rPr>
          <w:rFonts w:ascii="Arial Narrow" w:hAnsi="Arial Narrow"/>
          <w:sz w:val="24"/>
          <w:szCs w:val="24"/>
          <w:lang w:val="fr-FR"/>
        </w:rPr>
        <w:t>Chef de Projet PRODA</w:t>
      </w:r>
      <w:r w:rsidR="00101DAB">
        <w:rPr>
          <w:rFonts w:ascii="Arial Narrow" w:hAnsi="Arial Narrow"/>
          <w:sz w:val="24"/>
          <w:szCs w:val="24"/>
          <w:lang w:val="fr-FR"/>
        </w:rPr>
        <w:t>, E</w:t>
      </w:r>
      <w:r w:rsidR="00E62DE4">
        <w:rPr>
          <w:rFonts w:ascii="Arial Narrow" w:hAnsi="Arial Narrow"/>
          <w:sz w:val="24"/>
          <w:szCs w:val="24"/>
          <w:lang w:val="fr-FR"/>
        </w:rPr>
        <w:t>mail</w:t>
      </w:r>
      <w:r w:rsidR="000B4465">
        <w:rPr>
          <w:rFonts w:ascii="Arial Narrow" w:hAnsi="Arial Narrow"/>
          <w:sz w:val="24"/>
          <w:szCs w:val="24"/>
          <w:lang w:val="fr-FR"/>
        </w:rPr>
        <w:t> :</w:t>
      </w:r>
      <w:hyperlink r:id="rId12" w:history="1">
        <w:r w:rsidR="00C5001A" w:rsidRPr="00E96A92">
          <w:rPr>
            <w:rStyle w:val="Lienhypertexte"/>
            <w:rFonts w:ascii="Arial Narrow" w:hAnsi="Arial Narrow"/>
            <w:sz w:val="24"/>
            <w:szCs w:val="24"/>
            <w:lang w:val="fr-FR"/>
          </w:rPr>
          <w:t>mohamedabdallahmahyoub@gmail.com</w:t>
        </w:r>
      </w:hyperlink>
    </w:p>
    <w:p w:rsidR="00E62DE4" w:rsidRPr="005701D9" w:rsidRDefault="00E62DE4" w:rsidP="00E62DE4">
      <w:pPr>
        <w:rPr>
          <w:rFonts w:ascii="Arial Narrow" w:hAnsi="Arial Narrow"/>
          <w:sz w:val="24"/>
          <w:szCs w:val="24"/>
          <w:lang w:val="fr-FR"/>
        </w:rPr>
      </w:pPr>
      <w:r w:rsidRPr="008A4A26">
        <w:rPr>
          <w:rFonts w:ascii="Arial Narrow" w:hAnsi="Arial Narrow"/>
          <w:sz w:val="24"/>
          <w:szCs w:val="24"/>
          <w:lang w:val="fr-FR"/>
        </w:rPr>
        <w:t xml:space="preserve">Monsieur ABDIRAHMAN MOHAMED SALEH, </w:t>
      </w:r>
      <w:r>
        <w:rPr>
          <w:rFonts w:ascii="Arial Narrow" w:hAnsi="Arial Narrow"/>
          <w:sz w:val="24"/>
          <w:szCs w:val="24"/>
          <w:lang w:val="fr-FR"/>
        </w:rPr>
        <w:t>Directeur des</w:t>
      </w:r>
      <w:r w:rsidRPr="008A4A26">
        <w:rPr>
          <w:rFonts w:ascii="Arial Narrow" w:hAnsi="Arial Narrow"/>
          <w:sz w:val="24"/>
          <w:szCs w:val="24"/>
          <w:lang w:val="fr-FR"/>
        </w:rPr>
        <w:t xml:space="preserve"> Projet</w:t>
      </w:r>
      <w:r w:rsidR="00101DAB">
        <w:rPr>
          <w:rFonts w:ascii="Arial Narrow" w:hAnsi="Arial Narrow"/>
          <w:sz w:val="24"/>
          <w:szCs w:val="24"/>
          <w:lang w:val="fr-FR"/>
        </w:rPr>
        <w:t>, E</w:t>
      </w:r>
      <w:r>
        <w:rPr>
          <w:rFonts w:ascii="Arial Narrow" w:hAnsi="Arial Narrow"/>
          <w:sz w:val="24"/>
          <w:szCs w:val="24"/>
          <w:lang w:val="fr-FR"/>
        </w:rPr>
        <w:t xml:space="preserve">mail : </w:t>
      </w:r>
      <w:hyperlink r:id="rId13" w:tgtFrame="_blank" w:history="1">
        <w:r w:rsidRPr="005701D9">
          <w:rPr>
            <w:rFonts w:ascii="Arial" w:hAnsi="Arial" w:cs="Arial"/>
            <w:color w:val="1155CC"/>
            <w:u w:val="single"/>
            <w:shd w:val="clear" w:color="auto" w:fill="FFFFFF"/>
            <w:lang w:val="fr-FR"/>
          </w:rPr>
          <w:t>msalehnio@gmail.com</w:t>
        </w:r>
      </w:hyperlink>
      <w:r w:rsidRPr="005701D9">
        <w:rPr>
          <w:lang w:val="fr-FR"/>
        </w:rPr>
        <w:t xml:space="preserve">, </w:t>
      </w:r>
      <w:hyperlink r:id="rId14" w:history="1">
        <w:r w:rsidRPr="005701D9">
          <w:rPr>
            <w:rFonts w:ascii="Arial" w:hAnsi="Arial" w:cs="Arial"/>
            <w:color w:val="1155CC"/>
            <w:u w:val="single"/>
            <w:shd w:val="clear" w:color="auto" w:fill="FFFFFF"/>
            <w:lang w:val="fr-FR"/>
          </w:rPr>
          <w:t>menfoprojets@gmail.com</w:t>
        </w:r>
      </w:hyperlink>
    </w:p>
    <w:p w:rsidR="00392B6E" w:rsidRDefault="00392B6E">
      <w:pPr>
        <w:rPr>
          <w:lang w:val="fr-FR"/>
        </w:rPr>
        <w:sectPr w:rsidR="00392B6E" w:rsidSect="007976E9">
          <w:footerReference w:type="default" r:id="rId15"/>
          <w:pgSz w:w="12240" w:h="15840"/>
          <w:pgMar w:top="709" w:right="1440" w:bottom="851" w:left="1440" w:header="720" w:footer="0" w:gutter="0"/>
          <w:cols w:space="720"/>
          <w:docGrid w:linePitch="360"/>
        </w:sectPr>
      </w:pPr>
      <w:r>
        <w:rPr>
          <w:lang w:val="fr-FR"/>
        </w:rPr>
        <w:br w:type="page"/>
      </w:r>
    </w:p>
    <w:p w:rsidR="00EA5A75" w:rsidRPr="00101DAB" w:rsidRDefault="007F47BF" w:rsidP="00101DAB">
      <w:pPr>
        <w:jc w:val="center"/>
        <w:rPr>
          <w:b/>
          <w:sz w:val="28"/>
          <w:lang w:val="fr-FR"/>
        </w:rPr>
      </w:pPr>
      <w:r w:rsidRPr="00101DAB">
        <w:rPr>
          <w:b/>
          <w:sz w:val="28"/>
          <w:u w:val="single"/>
          <w:lang w:val="fr-FR"/>
        </w:rPr>
        <w:lastRenderedPageBreak/>
        <w:t>A</w:t>
      </w:r>
      <w:r w:rsidR="00C61AEA" w:rsidRPr="00101DAB">
        <w:rPr>
          <w:b/>
          <w:sz w:val="28"/>
          <w:u w:val="single"/>
          <w:lang w:val="fr-FR"/>
        </w:rPr>
        <w:t>nnexe 1</w:t>
      </w:r>
      <w:r w:rsidR="00C61AEA" w:rsidRPr="00101DAB">
        <w:rPr>
          <w:b/>
          <w:sz w:val="28"/>
          <w:lang w:val="fr-FR"/>
        </w:rPr>
        <w:t>. Les indicateurs à vérifier par l’agence de vérification indépendante (le résumé)</w:t>
      </w:r>
    </w:p>
    <w:tbl>
      <w:tblPr>
        <w:tblStyle w:val="Grilledutableau"/>
        <w:tblW w:w="14881" w:type="dxa"/>
        <w:jc w:val="center"/>
        <w:tblInd w:w="-455" w:type="dxa"/>
        <w:tblLook w:val="04A0"/>
      </w:tblPr>
      <w:tblGrid>
        <w:gridCol w:w="1584"/>
        <w:gridCol w:w="1126"/>
        <w:gridCol w:w="1252"/>
        <w:gridCol w:w="2697"/>
        <w:gridCol w:w="964"/>
        <w:gridCol w:w="3373"/>
        <w:gridCol w:w="3885"/>
      </w:tblGrid>
      <w:tr w:rsidR="008B17A1" w:rsidRPr="00392B6E" w:rsidTr="00101DAB">
        <w:trPr>
          <w:jc w:val="center"/>
        </w:trPr>
        <w:tc>
          <w:tcPr>
            <w:tcW w:w="1584" w:type="dxa"/>
            <w:shd w:val="clear" w:color="auto" w:fill="F2F2F2" w:themeFill="background1" w:themeFillShade="F2"/>
            <w:vAlign w:val="center"/>
          </w:tcPr>
          <w:p w:rsidR="008B17A1" w:rsidRPr="00392B6E" w:rsidRDefault="008B17A1" w:rsidP="00101DAB">
            <w:pPr>
              <w:jc w:val="center"/>
              <w:rPr>
                <w:rFonts w:ascii="Calibri" w:hAnsi="Calibri" w:cs="Calibri"/>
                <w:b/>
                <w:bCs/>
                <w:sz w:val="16"/>
                <w:szCs w:val="16"/>
                <w:lang w:val="fr-FR"/>
              </w:rPr>
            </w:pPr>
          </w:p>
        </w:tc>
        <w:tc>
          <w:tcPr>
            <w:tcW w:w="1126" w:type="dxa"/>
            <w:shd w:val="clear" w:color="auto" w:fill="F2F2F2" w:themeFill="background1" w:themeFillShade="F2"/>
            <w:vAlign w:val="center"/>
          </w:tcPr>
          <w:p w:rsidR="008B17A1" w:rsidRPr="00392B6E" w:rsidRDefault="007F47BF" w:rsidP="00101DAB">
            <w:pPr>
              <w:jc w:val="center"/>
              <w:rPr>
                <w:rFonts w:ascii="Calibri" w:hAnsi="Calibri" w:cs="Calibri"/>
                <w:b/>
                <w:bCs/>
                <w:sz w:val="16"/>
                <w:szCs w:val="16"/>
                <w:lang w:val="fr-FR"/>
              </w:rPr>
            </w:pPr>
            <w:r>
              <w:rPr>
                <w:rFonts w:ascii="Calibri" w:hAnsi="Calibri" w:cs="Calibri"/>
                <w:b/>
                <w:bCs/>
                <w:sz w:val="16"/>
                <w:szCs w:val="16"/>
                <w:lang w:val="fr-FR"/>
              </w:rPr>
              <w:t>Total alloué</w:t>
            </w:r>
          </w:p>
        </w:tc>
        <w:tc>
          <w:tcPr>
            <w:tcW w:w="1252" w:type="dxa"/>
            <w:shd w:val="clear" w:color="auto" w:fill="F2F2F2" w:themeFill="background1" w:themeFillShade="F2"/>
            <w:vAlign w:val="center"/>
          </w:tcPr>
          <w:p w:rsidR="008B17A1" w:rsidRPr="00392B6E" w:rsidRDefault="007F47BF" w:rsidP="00101DAB">
            <w:pPr>
              <w:jc w:val="center"/>
              <w:rPr>
                <w:rFonts w:ascii="Calibri" w:hAnsi="Calibri" w:cs="Calibri"/>
                <w:b/>
                <w:bCs/>
                <w:sz w:val="16"/>
                <w:szCs w:val="16"/>
                <w:lang w:val="fr-FR"/>
              </w:rPr>
            </w:pPr>
            <w:r>
              <w:rPr>
                <w:rFonts w:ascii="Calibri" w:hAnsi="Calibri" w:cs="Calibri"/>
                <w:b/>
                <w:bCs/>
                <w:sz w:val="16"/>
                <w:szCs w:val="16"/>
                <w:lang w:val="fr-FR"/>
              </w:rPr>
              <w:t>Cumul décaissé</w:t>
            </w:r>
          </w:p>
        </w:tc>
        <w:tc>
          <w:tcPr>
            <w:tcW w:w="2697" w:type="dxa"/>
            <w:shd w:val="clear" w:color="auto" w:fill="F2F2F2" w:themeFill="background1" w:themeFillShade="F2"/>
            <w:vAlign w:val="center"/>
          </w:tcPr>
          <w:p w:rsidR="008B17A1" w:rsidRPr="00392B6E" w:rsidRDefault="008B17A1" w:rsidP="00101DAB">
            <w:pPr>
              <w:jc w:val="center"/>
              <w:rPr>
                <w:rFonts w:ascii="Calibri" w:hAnsi="Calibri" w:cs="Calibri"/>
                <w:b/>
                <w:bCs/>
                <w:sz w:val="16"/>
                <w:szCs w:val="16"/>
                <w:lang w:val="fr-FR"/>
              </w:rPr>
            </w:pPr>
            <w:r w:rsidRPr="00392B6E">
              <w:rPr>
                <w:rFonts w:ascii="Calibri" w:hAnsi="Calibri" w:cs="Calibri"/>
                <w:b/>
                <w:bCs/>
                <w:sz w:val="16"/>
                <w:szCs w:val="16"/>
                <w:lang w:val="fr-FR"/>
              </w:rPr>
              <w:t xml:space="preserve">Année </w:t>
            </w:r>
            <w:r w:rsidR="007F47BF">
              <w:rPr>
                <w:rFonts w:ascii="Calibri" w:hAnsi="Calibri" w:cs="Calibri"/>
                <w:b/>
                <w:bCs/>
                <w:sz w:val="16"/>
                <w:szCs w:val="16"/>
                <w:lang w:val="fr-FR"/>
              </w:rPr>
              <w:t>6</w:t>
            </w:r>
            <w:r w:rsidRPr="00392B6E">
              <w:rPr>
                <w:rFonts w:ascii="Calibri" w:hAnsi="Calibri" w:cs="Calibri"/>
                <w:b/>
                <w:bCs/>
                <w:sz w:val="16"/>
                <w:szCs w:val="16"/>
                <w:lang w:val="fr-FR"/>
              </w:rPr>
              <w:t xml:space="preserve"> : 2</w:t>
            </w:r>
            <w:r w:rsidR="007F47BF">
              <w:rPr>
                <w:rFonts w:ascii="Calibri" w:hAnsi="Calibri" w:cs="Calibri"/>
                <w:b/>
                <w:bCs/>
                <w:sz w:val="16"/>
                <w:szCs w:val="16"/>
                <w:lang w:val="fr-FR"/>
              </w:rPr>
              <w:t>5</w:t>
            </w:r>
            <w:r w:rsidRPr="00392B6E">
              <w:rPr>
                <w:rFonts w:ascii="Calibri" w:hAnsi="Calibri" w:cs="Calibri"/>
                <w:b/>
                <w:bCs/>
                <w:sz w:val="16"/>
                <w:szCs w:val="16"/>
                <w:lang w:val="fr-FR"/>
              </w:rPr>
              <w:t>/2</w:t>
            </w:r>
            <w:r w:rsidR="007F47BF">
              <w:rPr>
                <w:rFonts w:ascii="Calibri" w:hAnsi="Calibri" w:cs="Calibri"/>
                <w:b/>
                <w:bCs/>
                <w:sz w:val="16"/>
                <w:szCs w:val="16"/>
                <w:lang w:val="fr-FR"/>
              </w:rPr>
              <w:t>6</w:t>
            </w:r>
          </w:p>
        </w:tc>
        <w:tc>
          <w:tcPr>
            <w:tcW w:w="964" w:type="dxa"/>
            <w:shd w:val="clear" w:color="auto" w:fill="F2F2F2" w:themeFill="background1" w:themeFillShade="F2"/>
            <w:vAlign w:val="center"/>
          </w:tcPr>
          <w:p w:rsidR="008B17A1" w:rsidRPr="00392B6E" w:rsidRDefault="008B17A1" w:rsidP="00101DAB">
            <w:pPr>
              <w:jc w:val="center"/>
              <w:rPr>
                <w:rFonts w:ascii="Calibri" w:hAnsi="Calibri" w:cs="Calibri"/>
                <w:b/>
                <w:bCs/>
                <w:sz w:val="16"/>
                <w:szCs w:val="16"/>
                <w:lang w:val="fr-FR"/>
              </w:rPr>
            </w:pPr>
            <w:r w:rsidRPr="00392B6E">
              <w:rPr>
                <w:rFonts w:ascii="Calibri" w:hAnsi="Calibri" w:cs="Calibri"/>
                <w:b/>
                <w:bCs/>
                <w:sz w:val="16"/>
                <w:szCs w:val="16"/>
                <w:lang w:val="fr-FR"/>
              </w:rPr>
              <w:t xml:space="preserve">Montant </w:t>
            </w:r>
            <w:r w:rsidR="007F47BF">
              <w:rPr>
                <w:rFonts w:ascii="Calibri" w:hAnsi="Calibri" w:cs="Calibri"/>
                <w:b/>
                <w:bCs/>
                <w:sz w:val="16"/>
                <w:szCs w:val="16"/>
                <w:lang w:val="fr-FR"/>
              </w:rPr>
              <w:t>à vérifier</w:t>
            </w:r>
          </w:p>
        </w:tc>
        <w:tc>
          <w:tcPr>
            <w:tcW w:w="3373" w:type="dxa"/>
            <w:shd w:val="clear" w:color="auto" w:fill="F2F2F2" w:themeFill="background1" w:themeFillShade="F2"/>
            <w:vAlign w:val="center"/>
          </w:tcPr>
          <w:p w:rsidR="008B17A1" w:rsidRPr="00392B6E" w:rsidRDefault="008B17A1" w:rsidP="00101DAB">
            <w:pPr>
              <w:jc w:val="center"/>
              <w:rPr>
                <w:rFonts w:ascii="Calibri" w:hAnsi="Calibri" w:cs="Calibri"/>
                <w:b/>
                <w:bCs/>
                <w:sz w:val="16"/>
                <w:szCs w:val="16"/>
                <w:lang w:val="fr-FR"/>
              </w:rPr>
            </w:pPr>
            <w:r w:rsidRPr="00392B6E">
              <w:rPr>
                <w:rFonts w:ascii="Calibri" w:hAnsi="Calibri" w:cs="Calibri"/>
                <w:b/>
                <w:bCs/>
                <w:sz w:val="16"/>
                <w:szCs w:val="16"/>
                <w:lang w:val="fr-FR"/>
              </w:rPr>
              <w:t>Description</w:t>
            </w:r>
          </w:p>
        </w:tc>
        <w:tc>
          <w:tcPr>
            <w:tcW w:w="3885" w:type="dxa"/>
            <w:shd w:val="clear" w:color="auto" w:fill="F2F2F2" w:themeFill="background1" w:themeFillShade="F2"/>
            <w:vAlign w:val="center"/>
          </w:tcPr>
          <w:p w:rsidR="008B17A1" w:rsidRPr="00392B6E" w:rsidRDefault="008B17A1" w:rsidP="00101DAB">
            <w:pPr>
              <w:jc w:val="center"/>
              <w:rPr>
                <w:rFonts w:ascii="Calibri" w:hAnsi="Calibri" w:cs="Calibri"/>
                <w:b/>
                <w:bCs/>
                <w:sz w:val="16"/>
                <w:szCs w:val="16"/>
                <w:lang w:val="fr-FR"/>
              </w:rPr>
            </w:pPr>
            <w:r w:rsidRPr="00392B6E">
              <w:rPr>
                <w:rFonts w:ascii="Calibri" w:hAnsi="Calibri" w:cs="Calibri"/>
                <w:b/>
                <w:bCs/>
                <w:sz w:val="16"/>
                <w:szCs w:val="16"/>
                <w:lang w:val="fr-FR"/>
              </w:rPr>
              <w:t>Procédure de vérification</w:t>
            </w:r>
          </w:p>
        </w:tc>
      </w:tr>
      <w:tr w:rsidR="008B17A1" w:rsidRPr="00493397" w:rsidTr="007D659D">
        <w:trPr>
          <w:jc w:val="center"/>
        </w:trPr>
        <w:tc>
          <w:tcPr>
            <w:tcW w:w="1584" w:type="dxa"/>
            <w:vAlign w:val="center"/>
          </w:tcPr>
          <w:p w:rsidR="008B17A1" w:rsidRPr="00392B6E" w:rsidRDefault="00266841" w:rsidP="007D659D">
            <w:pPr>
              <w:rPr>
                <w:rFonts w:ascii="Calibri" w:hAnsi="Calibri" w:cs="Calibri"/>
                <w:sz w:val="16"/>
                <w:szCs w:val="16"/>
                <w:lang w:val="fr-FR"/>
              </w:rPr>
            </w:pPr>
            <w:r w:rsidRPr="00101DAB">
              <w:rPr>
                <w:rFonts w:ascii="Calibri" w:hAnsi="Calibri" w:cs="Calibri"/>
                <w:b/>
                <w:sz w:val="16"/>
                <w:szCs w:val="16"/>
                <w:lang w:val="fr-FR"/>
              </w:rPr>
              <w:t>CBP</w:t>
            </w:r>
            <w:r w:rsidR="008B17A1" w:rsidRPr="00101DAB">
              <w:rPr>
                <w:rFonts w:ascii="Calibri" w:hAnsi="Calibri" w:cs="Calibri"/>
                <w:b/>
                <w:sz w:val="16"/>
                <w:szCs w:val="16"/>
                <w:lang w:val="fr-FR"/>
              </w:rPr>
              <w:t xml:space="preserve"> 4.</w:t>
            </w:r>
            <w:r w:rsidR="008B17A1" w:rsidRPr="00392B6E">
              <w:rPr>
                <w:rFonts w:ascii="Calibri" w:hAnsi="Calibri" w:cs="Calibri"/>
                <w:sz w:val="16"/>
                <w:szCs w:val="16"/>
                <w:lang w:val="fr-FR"/>
              </w:rPr>
              <w:t xml:space="preserve"> Renforcer la demande et améliorer la rétention des élèves dans les écoles primaires et l’enseignement moyen</w:t>
            </w:r>
          </w:p>
        </w:tc>
        <w:tc>
          <w:tcPr>
            <w:tcW w:w="1126" w:type="dxa"/>
            <w:vAlign w:val="center"/>
          </w:tcPr>
          <w:p w:rsidR="008B17A1" w:rsidRPr="00101DAB" w:rsidRDefault="007F47BF" w:rsidP="00101DAB">
            <w:pPr>
              <w:jc w:val="center"/>
              <w:rPr>
                <w:rFonts w:ascii="Calibri" w:hAnsi="Calibri" w:cs="Calibri"/>
                <w:b/>
                <w:sz w:val="16"/>
                <w:szCs w:val="16"/>
                <w:lang w:val="fr-FR"/>
              </w:rPr>
            </w:pPr>
            <w:r w:rsidRPr="00101DAB">
              <w:rPr>
                <w:rFonts w:ascii="Calibri" w:hAnsi="Calibri" w:cs="Calibri"/>
                <w:b/>
                <w:sz w:val="16"/>
                <w:szCs w:val="16"/>
              </w:rPr>
              <w:t>1 000 000$</w:t>
            </w:r>
          </w:p>
        </w:tc>
        <w:tc>
          <w:tcPr>
            <w:tcW w:w="1252" w:type="dxa"/>
            <w:vAlign w:val="center"/>
          </w:tcPr>
          <w:p w:rsidR="007F47BF" w:rsidRPr="00101DAB" w:rsidRDefault="007F47BF" w:rsidP="00101DAB">
            <w:pPr>
              <w:jc w:val="center"/>
              <w:rPr>
                <w:rFonts w:ascii="Calibri" w:hAnsi="Calibri" w:cs="Calibri"/>
                <w:b/>
                <w:sz w:val="16"/>
                <w:szCs w:val="16"/>
                <w:lang w:val="fr-FR"/>
              </w:rPr>
            </w:pPr>
            <w:r w:rsidRPr="00101DAB">
              <w:rPr>
                <w:rFonts w:ascii="Calibri" w:hAnsi="Calibri" w:cs="Calibri"/>
                <w:b/>
                <w:sz w:val="16"/>
                <w:szCs w:val="16"/>
              </w:rPr>
              <w:t>750 000$</w:t>
            </w:r>
          </w:p>
        </w:tc>
        <w:tc>
          <w:tcPr>
            <w:tcW w:w="2697" w:type="dxa"/>
          </w:tcPr>
          <w:p w:rsidR="008B17A1" w:rsidRPr="00392B6E" w:rsidRDefault="00266841" w:rsidP="00392B6E">
            <w:pPr>
              <w:rPr>
                <w:rFonts w:ascii="Calibri" w:hAnsi="Calibri" w:cs="Calibri"/>
                <w:sz w:val="16"/>
                <w:szCs w:val="16"/>
                <w:lang w:val="fr-FR"/>
              </w:rPr>
            </w:pPr>
            <w:r>
              <w:rPr>
                <w:rFonts w:ascii="Calibri" w:hAnsi="Calibri" w:cs="Calibri"/>
                <w:sz w:val="16"/>
                <w:szCs w:val="16"/>
                <w:lang w:val="fr-FR"/>
              </w:rPr>
              <w:t>RBP</w:t>
            </w:r>
            <w:r w:rsidR="008B17A1" w:rsidRPr="00392B6E">
              <w:rPr>
                <w:rFonts w:ascii="Calibri" w:hAnsi="Calibri" w:cs="Calibri"/>
                <w:sz w:val="16"/>
                <w:szCs w:val="16"/>
                <w:lang w:val="fr-FR"/>
              </w:rPr>
              <w:t xml:space="preserve"> 4.3 : Augmentation de l’indice de parité entre les sexes pour la scolarisation brute dans le cycle moyen</w:t>
            </w:r>
          </w:p>
          <w:p w:rsidR="008B17A1" w:rsidRPr="00392B6E" w:rsidRDefault="008B17A1" w:rsidP="00392B6E">
            <w:pPr>
              <w:rPr>
                <w:rFonts w:ascii="Calibri" w:hAnsi="Calibri" w:cs="Calibri"/>
                <w:sz w:val="16"/>
                <w:szCs w:val="16"/>
              </w:rPr>
            </w:pPr>
            <w:r w:rsidRPr="00392B6E">
              <w:rPr>
                <w:rFonts w:ascii="Calibri" w:hAnsi="Calibri" w:cs="Calibri"/>
                <w:sz w:val="16"/>
                <w:szCs w:val="16"/>
              </w:rPr>
              <w:t>(1 000</w:t>
            </w:r>
            <w:r w:rsidR="00C61AEA">
              <w:rPr>
                <w:rFonts w:ascii="Calibri" w:hAnsi="Calibri" w:cs="Calibri"/>
                <w:sz w:val="16"/>
                <w:szCs w:val="16"/>
              </w:rPr>
              <w:t> </w:t>
            </w:r>
            <w:r w:rsidRPr="00392B6E">
              <w:rPr>
                <w:rFonts w:ascii="Calibri" w:hAnsi="Calibri" w:cs="Calibri"/>
                <w:sz w:val="16"/>
                <w:szCs w:val="16"/>
              </w:rPr>
              <w:t>000</w:t>
            </w:r>
            <w:r w:rsidR="00C61AEA">
              <w:rPr>
                <w:rFonts w:ascii="Calibri" w:hAnsi="Calibri" w:cs="Calibri"/>
                <w:sz w:val="16"/>
                <w:szCs w:val="16"/>
              </w:rPr>
              <w:t>$</w:t>
            </w:r>
            <w:r w:rsidRPr="00392B6E">
              <w:rPr>
                <w:rFonts w:ascii="Calibri" w:hAnsi="Calibri" w:cs="Calibri"/>
                <w:sz w:val="16"/>
                <w:szCs w:val="16"/>
              </w:rPr>
              <w:t>)</w:t>
            </w:r>
          </w:p>
          <w:p w:rsidR="008B17A1" w:rsidRPr="00392B6E" w:rsidRDefault="008B17A1" w:rsidP="00392B6E">
            <w:pPr>
              <w:rPr>
                <w:rFonts w:ascii="Calibri" w:hAnsi="Calibri" w:cs="Calibri"/>
                <w:sz w:val="16"/>
                <w:szCs w:val="16"/>
                <w:lang w:val="fr-FR"/>
              </w:rPr>
            </w:pPr>
          </w:p>
        </w:tc>
        <w:tc>
          <w:tcPr>
            <w:tcW w:w="964" w:type="dxa"/>
          </w:tcPr>
          <w:p w:rsidR="008B17A1" w:rsidRPr="00101DAB" w:rsidRDefault="008B17A1" w:rsidP="00392B6E">
            <w:pPr>
              <w:rPr>
                <w:rFonts w:ascii="Calibri" w:hAnsi="Calibri" w:cs="Calibri"/>
                <w:b/>
                <w:sz w:val="16"/>
                <w:szCs w:val="16"/>
                <w:lang w:val="fr-FR"/>
              </w:rPr>
            </w:pPr>
          </w:p>
          <w:p w:rsidR="007F47BF" w:rsidRPr="00101DAB" w:rsidRDefault="007F47BF" w:rsidP="00392B6E">
            <w:pPr>
              <w:rPr>
                <w:rFonts w:ascii="Calibri" w:hAnsi="Calibri" w:cs="Calibri"/>
                <w:b/>
                <w:sz w:val="16"/>
                <w:szCs w:val="16"/>
                <w:lang w:val="fr-FR"/>
              </w:rPr>
            </w:pPr>
          </w:p>
          <w:p w:rsidR="007F47BF" w:rsidRPr="00101DAB" w:rsidRDefault="007F47BF" w:rsidP="00392B6E">
            <w:pPr>
              <w:rPr>
                <w:rFonts w:ascii="Calibri" w:hAnsi="Calibri" w:cs="Calibri"/>
                <w:b/>
                <w:sz w:val="16"/>
                <w:szCs w:val="16"/>
                <w:lang w:val="fr-FR"/>
              </w:rPr>
            </w:pPr>
            <w:r w:rsidRPr="00101DAB">
              <w:rPr>
                <w:rFonts w:ascii="Calibri" w:hAnsi="Calibri" w:cs="Calibri"/>
                <w:b/>
                <w:sz w:val="16"/>
                <w:szCs w:val="16"/>
              </w:rPr>
              <w:t>250 000$</w:t>
            </w:r>
          </w:p>
        </w:tc>
        <w:tc>
          <w:tcPr>
            <w:tcW w:w="3373" w:type="dxa"/>
          </w:tcPr>
          <w:p w:rsidR="008B17A1" w:rsidRPr="00392B6E" w:rsidRDefault="00266841" w:rsidP="00392B6E">
            <w:pPr>
              <w:rPr>
                <w:rFonts w:ascii="Calibri" w:hAnsi="Calibri" w:cs="Calibri"/>
                <w:sz w:val="16"/>
                <w:szCs w:val="16"/>
                <w:lang w:val="fr-FR"/>
              </w:rPr>
            </w:pPr>
            <w:r>
              <w:rPr>
                <w:rFonts w:ascii="Calibri" w:hAnsi="Calibri" w:cs="Calibri"/>
                <w:sz w:val="16"/>
                <w:szCs w:val="16"/>
                <w:lang w:val="fr-FR"/>
              </w:rPr>
              <w:t xml:space="preserve">RBP </w:t>
            </w:r>
            <w:r w:rsidR="008B17A1" w:rsidRPr="00392B6E">
              <w:rPr>
                <w:rFonts w:ascii="Calibri" w:hAnsi="Calibri" w:cs="Calibri"/>
                <w:sz w:val="16"/>
                <w:szCs w:val="16"/>
                <w:lang w:val="fr-FR"/>
              </w:rPr>
              <w:t>4.3 : Le MENFOP calculera chaque année l’amélioration de l’indice de parité entre les sexes pour la scolarisation brute dans le cycle moyen à partir de ses tableaux statistiques. L’indice sera ventilé par zone urbaine et rurale. Il faut noter que l</w:t>
            </w:r>
            <w:r>
              <w:rPr>
                <w:rFonts w:ascii="Calibri" w:hAnsi="Calibri" w:cs="Calibri"/>
                <w:sz w:val="16"/>
                <w:szCs w:val="16"/>
                <w:lang w:val="fr-FR"/>
              </w:rPr>
              <w:t>e RBP</w:t>
            </w:r>
            <w:r w:rsidR="008B17A1" w:rsidRPr="00392B6E">
              <w:rPr>
                <w:rFonts w:ascii="Calibri" w:hAnsi="Calibri" w:cs="Calibri"/>
                <w:sz w:val="16"/>
                <w:szCs w:val="16"/>
                <w:lang w:val="fr-FR"/>
              </w:rPr>
              <w:t xml:space="preserve"> 4.2 est l’indicateur de la part variable du PME pour l’efficacité et l</w:t>
            </w:r>
            <w:r>
              <w:rPr>
                <w:rFonts w:ascii="Calibri" w:hAnsi="Calibri" w:cs="Calibri"/>
                <w:sz w:val="16"/>
                <w:szCs w:val="16"/>
                <w:lang w:val="fr-FR"/>
              </w:rPr>
              <w:t>e RBP</w:t>
            </w:r>
            <w:r w:rsidR="008B17A1" w:rsidRPr="00392B6E">
              <w:rPr>
                <w:rFonts w:ascii="Calibri" w:hAnsi="Calibri" w:cs="Calibri"/>
                <w:sz w:val="16"/>
                <w:szCs w:val="16"/>
                <w:lang w:val="fr-FR"/>
              </w:rPr>
              <w:t xml:space="preserve"> 4.3 est l’indicateur de la part variable du PME pour l’équité.</w:t>
            </w:r>
          </w:p>
        </w:tc>
        <w:tc>
          <w:tcPr>
            <w:tcW w:w="3885" w:type="dxa"/>
            <w:vAlign w:val="center"/>
          </w:tcPr>
          <w:p w:rsidR="008B17A1" w:rsidRPr="00392B6E" w:rsidRDefault="00266841" w:rsidP="007D659D">
            <w:pPr>
              <w:rPr>
                <w:rFonts w:ascii="Calibri" w:hAnsi="Calibri" w:cs="Calibri"/>
                <w:sz w:val="16"/>
                <w:szCs w:val="16"/>
                <w:lang w:val="fr-FR"/>
              </w:rPr>
            </w:pPr>
            <w:r>
              <w:rPr>
                <w:rFonts w:ascii="Calibri" w:hAnsi="Calibri" w:cs="Calibri"/>
                <w:sz w:val="16"/>
                <w:szCs w:val="16"/>
                <w:lang w:val="fr-FR"/>
              </w:rPr>
              <w:t>RBP</w:t>
            </w:r>
            <w:r w:rsidR="008B17A1" w:rsidRPr="00392B6E">
              <w:rPr>
                <w:rFonts w:ascii="Calibri" w:hAnsi="Calibri" w:cs="Calibri"/>
                <w:sz w:val="16"/>
                <w:szCs w:val="16"/>
                <w:lang w:val="fr-FR"/>
              </w:rPr>
              <w:t xml:space="preserve"> 4.3 : L’agence de vérification indépendante examinera les chiffres de l’indice de parité entre les sexes rapportés pour le cycle moyen, ventilés par zone urbaine / rurale. Formule de décaissement : Sur la base de 0,82 comme référence, 250 000 USD pour chaque augmentation de 0,02, avec un maximum de 1 000 000 USD et un seuil de paiement minimal de 250 000 USD.</w:t>
            </w:r>
          </w:p>
        </w:tc>
      </w:tr>
      <w:tr w:rsidR="008B17A1" w:rsidRPr="00493397" w:rsidTr="007D659D">
        <w:trPr>
          <w:jc w:val="center"/>
        </w:trPr>
        <w:tc>
          <w:tcPr>
            <w:tcW w:w="1584" w:type="dxa"/>
            <w:vAlign w:val="center"/>
          </w:tcPr>
          <w:p w:rsidR="008B17A1" w:rsidRPr="00392B6E" w:rsidRDefault="00266841" w:rsidP="007D659D">
            <w:pPr>
              <w:rPr>
                <w:rFonts w:ascii="Calibri" w:hAnsi="Calibri" w:cs="Calibri"/>
                <w:sz w:val="16"/>
                <w:szCs w:val="16"/>
                <w:lang w:val="fr-FR"/>
              </w:rPr>
            </w:pPr>
            <w:r w:rsidRPr="00101DAB">
              <w:rPr>
                <w:rFonts w:ascii="Calibri" w:hAnsi="Calibri" w:cs="Calibri"/>
                <w:b/>
                <w:sz w:val="16"/>
                <w:szCs w:val="16"/>
                <w:lang w:val="fr-FR"/>
              </w:rPr>
              <w:t>CBP</w:t>
            </w:r>
            <w:r w:rsidR="008B17A1" w:rsidRPr="00101DAB">
              <w:rPr>
                <w:rFonts w:ascii="Calibri" w:hAnsi="Calibri" w:cs="Calibri"/>
                <w:b/>
                <w:sz w:val="16"/>
                <w:szCs w:val="16"/>
                <w:lang w:val="fr-FR"/>
              </w:rPr>
              <w:t xml:space="preserve"> 5.</w:t>
            </w:r>
            <w:r w:rsidR="008B17A1" w:rsidRPr="00392B6E">
              <w:rPr>
                <w:rFonts w:ascii="Calibri" w:hAnsi="Calibri" w:cs="Calibri"/>
                <w:sz w:val="16"/>
                <w:szCs w:val="16"/>
                <w:lang w:val="fr-FR"/>
              </w:rPr>
              <w:t xml:space="preserve"> Amélioration des évaluations de l’apprentissage</w:t>
            </w:r>
          </w:p>
        </w:tc>
        <w:tc>
          <w:tcPr>
            <w:tcW w:w="1126" w:type="dxa"/>
            <w:vAlign w:val="center"/>
          </w:tcPr>
          <w:p w:rsidR="008B17A1" w:rsidRPr="00101DAB" w:rsidRDefault="007F47BF" w:rsidP="00101DAB">
            <w:pPr>
              <w:jc w:val="center"/>
              <w:rPr>
                <w:rFonts w:ascii="Calibri" w:hAnsi="Calibri" w:cs="Calibri"/>
                <w:b/>
                <w:sz w:val="16"/>
                <w:szCs w:val="16"/>
                <w:lang w:val="fr-FR"/>
              </w:rPr>
            </w:pPr>
            <w:r w:rsidRPr="00101DAB">
              <w:rPr>
                <w:rFonts w:ascii="Calibri" w:hAnsi="Calibri" w:cs="Calibri"/>
                <w:b/>
                <w:sz w:val="16"/>
                <w:szCs w:val="16"/>
              </w:rPr>
              <w:t>1 000 000$</w:t>
            </w:r>
          </w:p>
        </w:tc>
        <w:tc>
          <w:tcPr>
            <w:tcW w:w="1252" w:type="dxa"/>
            <w:vAlign w:val="center"/>
          </w:tcPr>
          <w:p w:rsidR="008B17A1" w:rsidRPr="00101DAB" w:rsidRDefault="007F47BF" w:rsidP="00101DAB">
            <w:pPr>
              <w:jc w:val="center"/>
              <w:rPr>
                <w:rFonts w:ascii="Calibri" w:hAnsi="Calibri" w:cs="Calibri"/>
                <w:b/>
                <w:sz w:val="16"/>
                <w:szCs w:val="16"/>
                <w:lang w:val="fr-FR"/>
              </w:rPr>
            </w:pPr>
            <w:r w:rsidRPr="00101DAB">
              <w:rPr>
                <w:rFonts w:ascii="Calibri" w:hAnsi="Calibri" w:cs="Calibri"/>
                <w:b/>
                <w:sz w:val="16"/>
                <w:szCs w:val="16"/>
              </w:rPr>
              <w:t>700 000$</w:t>
            </w:r>
          </w:p>
        </w:tc>
        <w:tc>
          <w:tcPr>
            <w:tcW w:w="2697" w:type="dxa"/>
          </w:tcPr>
          <w:p w:rsidR="008B17A1" w:rsidRPr="00392B6E" w:rsidRDefault="00266841" w:rsidP="00392B6E">
            <w:pPr>
              <w:rPr>
                <w:rFonts w:ascii="Calibri" w:hAnsi="Calibri" w:cs="Calibri"/>
                <w:sz w:val="16"/>
                <w:szCs w:val="16"/>
                <w:lang w:val="fr-FR"/>
              </w:rPr>
            </w:pPr>
            <w:r>
              <w:rPr>
                <w:rFonts w:ascii="Calibri" w:hAnsi="Calibri" w:cs="Calibri"/>
                <w:sz w:val="16"/>
                <w:szCs w:val="16"/>
                <w:lang w:val="fr-FR"/>
              </w:rPr>
              <w:t>RBP</w:t>
            </w:r>
            <w:r w:rsidR="008B17A1" w:rsidRPr="00392B6E">
              <w:rPr>
                <w:rFonts w:ascii="Calibri" w:hAnsi="Calibri" w:cs="Calibri"/>
                <w:sz w:val="16"/>
                <w:szCs w:val="16"/>
                <w:lang w:val="fr-FR"/>
              </w:rPr>
              <w:t xml:space="preserve"> 5.5(a) : Les écoles reçoivent des rapports détaillés sur les résultats des évaluations de l’apprentissage et des directives d’utilisation afin d’améliorer l’enseignement et l’apprentissage ; </w:t>
            </w:r>
          </w:p>
          <w:p w:rsidR="008B17A1" w:rsidRPr="00392B6E" w:rsidRDefault="008B17A1" w:rsidP="00392B6E">
            <w:pPr>
              <w:rPr>
                <w:rFonts w:ascii="Calibri" w:hAnsi="Calibri" w:cs="Calibri"/>
                <w:sz w:val="16"/>
                <w:szCs w:val="16"/>
                <w:lang w:val="fr-FR"/>
              </w:rPr>
            </w:pPr>
            <w:r w:rsidRPr="00392B6E">
              <w:rPr>
                <w:rFonts w:ascii="Calibri" w:hAnsi="Calibri" w:cs="Calibri"/>
                <w:sz w:val="16"/>
                <w:szCs w:val="16"/>
                <w:lang w:val="fr-FR"/>
              </w:rPr>
              <w:t>(500</w:t>
            </w:r>
            <w:r w:rsidR="00C61AEA">
              <w:rPr>
                <w:rFonts w:ascii="Calibri" w:hAnsi="Calibri" w:cs="Calibri"/>
                <w:sz w:val="16"/>
                <w:szCs w:val="16"/>
                <w:lang w:val="fr-FR"/>
              </w:rPr>
              <w:t> </w:t>
            </w:r>
            <w:r w:rsidRPr="00392B6E">
              <w:rPr>
                <w:rFonts w:ascii="Calibri" w:hAnsi="Calibri" w:cs="Calibri"/>
                <w:sz w:val="16"/>
                <w:szCs w:val="16"/>
                <w:lang w:val="fr-FR"/>
              </w:rPr>
              <w:t>000</w:t>
            </w:r>
            <w:r w:rsidR="00C61AEA">
              <w:rPr>
                <w:rFonts w:ascii="Calibri" w:hAnsi="Calibri" w:cs="Calibri"/>
                <w:sz w:val="16"/>
                <w:szCs w:val="16"/>
                <w:lang w:val="fr-FR"/>
              </w:rPr>
              <w:t>$</w:t>
            </w:r>
            <w:r w:rsidRPr="00392B6E">
              <w:rPr>
                <w:rFonts w:ascii="Calibri" w:hAnsi="Calibri" w:cs="Calibri"/>
                <w:sz w:val="16"/>
                <w:szCs w:val="16"/>
                <w:lang w:val="fr-FR"/>
              </w:rPr>
              <w:t>)</w:t>
            </w:r>
          </w:p>
          <w:p w:rsidR="008B17A1" w:rsidRPr="00392B6E" w:rsidRDefault="008B17A1" w:rsidP="00392B6E">
            <w:pPr>
              <w:rPr>
                <w:rFonts w:ascii="Calibri" w:hAnsi="Calibri" w:cs="Calibri"/>
                <w:sz w:val="16"/>
                <w:szCs w:val="16"/>
                <w:lang w:val="fr-FR"/>
              </w:rPr>
            </w:pPr>
          </w:p>
          <w:p w:rsidR="008B17A1" w:rsidRPr="00392B6E" w:rsidRDefault="00266841" w:rsidP="00392B6E">
            <w:pPr>
              <w:rPr>
                <w:rFonts w:ascii="Calibri" w:hAnsi="Calibri" w:cs="Calibri"/>
                <w:sz w:val="16"/>
                <w:szCs w:val="16"/>
                <w:lang w:val="fr-FR"/>
              </w:rPr>
            </w:pPr>
            <w:r>
              <w:rPr>
                <w:rFonts w:ascii="Calibri" w:hAnsi="Calibri" w:cs="Calibri"/>
                <w:sz w:val="16"/>
                <w:szCs w:val="16"/>
                <w:lang w:val="fr-FR"/>
              </w:rPr>
              <w:t xml:space="preserve">RBP </w:t>
            </w:r>
            <w:r w:rsidR="008B17A1" w:rsidRPr="00392B6E">
              <w:rPr>
                <w:rFonts w:ascii="Calibri" w:hAnsi="Calibri" w:cs="Calibri"/>
                <w:sz w:val="16"/>
                <w:szCs w:val="16"/>
                <w:lang w:val="fr-FR"/>
              </w:rPr>
              <w:t xml:space="preserve">5.5(b) : À partir du niveau de référence établi sous </w:t>
            </w:r>
            <w:r>
              <w:rPr>
                <w:rFonts w:ascii="Calibri" w:hAnsi="Calibri" w:cs="Calibri"/>
                <w:sz w:val="16"/>
                <w:szCs w:val="16"/>
                <w:lang w:val="fr-FR"/>
              </w:rPr>
              <w:t>RBP</w:t>
            </w:r>
            <w:r w:rsidR="008B17A1" w:rsidRPr="00392B6E">
              <w:rPr>
                <w:rFonts w:ascii="Calibri" w:hAnsi="Calibri" w:cs="Calibri"/>
                <w:sz w:val="16"/>
                <w:szCs w:val="16"/>
                <w:lang w:val="fr-FR"/>
              </w:rPr>
              <w:t xml:space="preserve"> 5.4, augmentation du pourcentage d’élèves de 2e année atteignant le seuil d’apprentissage minimal acceptable dans les années suivantes</w:t>
            </w:r>
            <w:r w:rsidR="008B17A1" w:rsidRPr="00392B6E">
              <w:rPr>
                <w:rFonts w:ascii="Calibri" w:hAnsi="Calibri" w:cs="Calibri"/>
                <w:sz w:val="16"/>
                <w:szCs w:val="16"/>
                <w:lang w:val="fr-FR"/>
              </w:rPr>
              <w:tab/>
            </w:r>
          </w:p>
          <w:p w:rsidR="008B17A1" w:rsidRPr="00392B6E" w:rsidRDefault="008B17A1" w:rsidP="00392B6E">
            <w:pPr>
              <w:rPr>
                <w:rFonts w:ascii="Calibri" w:hAnsi="Calibri" w:cs="Calibri"/>
                <w:sz w:val="16"/>
                <w:szCs w:val="16"/>
                <w:lang w:val="fr-FR"/>
              </w:rPr>
            </w:pPr>
            <w:r w:rsidRPr="00392B6E">
              <w:rPr>
                <w:rFonts w:ascii="Calibri" w:hAnsi="Calibri" w:cs="Calibri"/>
                <w:sz w:val="16"/>
                <w:szCs w:val="16"/>
                <w:lang w:val="fr-FR"/>
              </w:rPr>
              <w:t>(500</w:t>
            </w:r>
            <w:r w:rsidR="00C61AEA">
              <w:rPr>
                <w:rFonts w:ascii="Calibri" w:hAnsi="Calibri" w:cs="Calibri"/>
                <w:sz w:val="16"/>
                <w:szCs w:val="16"/>
                <w:lang w:val="fr-FR"/>
              </w:rPr>
              <w:t> </w:t>
            </w:r>
            <w:r w:rsidRPr="00392B6E">
              <w:rPr>
                <w:rFonts w:ascii="Calibri" w:hAnsi="Calibri" w:cs="Calibri"/>
                <w:sz w:val="16"/>
                <w:szCs w:val="16"/>
                <w:lang w:val="fr-FR"/>
              </w:rPr>
              <w:t>000</w:t>
            </w:r>
            <w:r w:rsidR="00C61AEA">
              <w:rPr>
                <w:rFonts w:ascii="Calibri" w:hAnsi="Calibri" w:cs="Calibri"/>
                <w:sz w:val="16"/>
                <w:szCs w:val="16"/>
                <w:lang w:val="fr-FR"/>
              </w:rPr>
              <w:t>$</w:t>
            </w:r>
            <w:r w:rsidRPr="00392B6E">
              <w:rPr>
                <w:rFonts w:ascii="Calibri" w:hAnsi="Calibri" w:cs="Calibri"/>
                <w:sz w:val="16"/>
                <w:szCs w:val="16"/>
                <w:lang w:val="fr-FR"/>
              </w:rPr>
              <w:t>)</w:t>
            </w:r>
          </w:p>
          <w:p w:rsidR="008B17A1" w:rsidRPr="00392B6E" w:rsidRDefault="008B17A1" w:rsidP="00392B6E">
            <w:pPr>
              <w:rPr>
                <w:rFonts w:ascii="Calibri" w:hAnsi="Calibri" w:cs="Calibri"/>
                <w:sz w:val="16"/>
                <w:szCs w:val="16"/>
                <w:lang w:val="fr-FR"/>
              </w:rPr>
            </w:pPr>
          </w:p>
          <w:p w:rsidR="008B17A1" w:rsidRPr="00392B6E" w:rsidRDefault="008B17A1" w:rsidP="00392B6E">
            <w:pPr>
              <w:rPr>
                <w:rFonts w:ascii="Calibri" w:hAnsi="Calibri" w:cs="Calibri"/>
                <w:sz w:val="16"/>
                <w:szCs w:val="16"/>
                <w:lang w:val="fr-FR"/>
              </w:rPr>
            </w:pPr>
          </w:p>
        </w:tc>
        <w:tc>
          <w:tcPr>
            <w:tcW w:w="964" w:type="dxa"/>
          </w:tcPr>
          <w:p w:rsidR="007F47BF" w:rsidRPr="00101DAB" w:rsidRDefault="007F47BF" w:rsidP="00392B6E">
            <w:pPr>
              <w:rPr>
                <w:rFonts w:ascii="Calibri" w:hAnsi="Calibri" w:cs="Calibri"/>
                <w:b/>
                <w:sz w:val="16"/>
                <w:szCs w:val="16"/>
                <w:lang w:val="fr-FR"/>
              </w:rPr>
            </w:pPr>
          </w:p>
          <w:p w:rsidR="007F47BF" w:rsidRPr="00101DAB" w:rsidRDefault="007F47BF" w:rsidP="00392B6E">
            <w:pPr>
              <w:rPr>
                <w:rFonts w:ascii="Calibri" w:hAnsi="Calibri" w:cs="Calibri"/>
                <w:b/>
                <w:sz w:val="16"/>
                <w:szCs w:val="16"/>
                <w:lang w:val="fr-FR"/>
              </w:rPr>
            </w:pPr>
          </w:p>
          <w:p w:rsidR="008B17A1" w:rsidRPr="00101DAB" w:rsidRDefault="008B17A1" w:rsidP="00392B6E">
            <w:pPr>
              <w:rPr>
                <w:rFonts w:ascii="Calibri" w:hAnsi="Calibri" w:cs="Calibri"/>
                <w:b/>
                <w:sz w:val="16"/>
                <w:szCs w:val="16"/>
                <w:lang w:val="fr-FR"/>
              </w:rPr>
            </w:pPr>
            <w:r w:rsidRPr="00101DAB">
              <w:rPr>
                <w:rFonts w:ascii="Calibri" w:hAnsi="Calibri" w:cs="Calibri"/>
                <w:b/>
                <w:sz w:val="16"/>
                <w:szCs w:val="16"/>
                <w:lang w:val="fr-FR"/>
              </w:rPr>
              <w:t>2</w:t>
            </w:r>
            <w:r w:rsidR="00C61AEA" w:rsidRPr="00101DAB">
              <w:rPr>
                <w:rFonts w:ascii="Calibri" w:hAnsi="Calibri" w:cs="Calibri"/>
                <w:b/>
                <w:sz w:val="16"/>
                <w:szCs w:val="16"/>
                <w:lang w:val="fr-FR"/>
              </w:rPr>
              <w:t>0</w:t>
            </w:r>
            <w:r w:rsidRPr="00101DAB">
              <w:rPr>
                <w:rFonts w:ascii="Calibri" w:hAnsi="Calibri" w:cs="Calibri"/>
                <w:b/>
                <w:sz w:val="16"/>
                <w:szCs w:val="16"/>
                <w:lang w:val="fr-FR"/>
              </w:rPr>
              <w:t>0</w:t>
            </w:r>
            <w:r w:rsidR="007F47BF" w:rsidRPr="00101DAB">
              <w:rPr>
                <w:rFonts w:ascii="Calibri" w:hAnsi="Calibri" w:cs="Calibri"/>
                <w:b/>
                <w:sz w:val="16"/>
                <w:szCs w:val="16"/>
                <w:lang w:val="fr-FR"/>
              </w:rPr>
              <w:t> </w:t>
            </w:r>
            <w:r w:rsidRPr="00101DAB">
              <w:rPr>
                <w:rFonts w:ascii="Calibri" w:hAnsi="Calibri" w:cs="Calibri"/>
                <w:b/>
                <w:sz w:val="16"/>
                <w:szCs w:val="16"/>
                <w:lang w:val="fr-FR"/>
              </w:rPr>
              <w:t>000</w:t>
            </w:r>
            <w:r w:rsidR="00C61AEA" w:rsidRPr="00101DAB">
              <w:rPr>
                <w:rFonts w:ascii="Calibri" w:hAnsi="Calibri" w:cs="Calibri"/>
                <w:b/>
                <w:sz w:val="16"/>
                <w:szCs w:val="16"/>
                <w:lang w:val="fr-FR"/>
              </w:rPr>
              <w:t>$</w:t>
            </w:r>
          </w:p>
          <w:p w:rsidR="007F47BF" w:rsidRPr="00101DAB" w:rsidRDefault="007F47BF" w:rsidP="00392B6E">
            <w:pPr>
              <w:rPr>
                <w:rFonts w:ascii="Calibri" w:hAnsi="Calibri" w:cs="Calibri"/>
                <w:b/>
                <w:sz w:val="16"/>
                <w:szCs w:val="16"/>
                <w:lang w:val="fr-FR"/>
              </w:rPr>
            </w:pPr>
          </w:p>
          <w:p w:rsidR="007F47BF" w:rsidRPr="00101DAB" w:rsidRDefault="007F47BF" w:rsidP="00392B6E">
            <w:pPr>
              <w:rPr>
                <w:rFonts w:ascii="Calibri" w:hAnsi="Calibri" w:cs="Calibri"/>
                <w:b/>
                <w:sz w:val="16"/>
                <w:szCs w:val="16"/>
                <w:lang w:val="fr-FR"/>
              </w:rPr>
            </w:pPr>
          </w:p>
          <w:p w:rsidR="007F47BF" w:rsidRPr="00101DAB" w:rsidRDefault="007F47BF" w:rsidP="00392B6E">
            <w:pPr>
              <w:rPr>
                <w:rFonts w:ascii="Calibri" w:hAnsi="Calibri" w:cs="Calibri"/>
                <w:b/>
                <w:sz w:val="16"/>
                <w:szCs w:val="16"/>
                <w:lang w:val="fr-FR"/>
              </w:rPr>
            </w:pPr>
          </w:p>
          <w:p w:rsidR="007F47BF" w:rsidRPr="00101DAB" w:rsidRDefault="007F47BF" w:rsidP="00392B6E">
            <w:pPr>
              <w:rPr>
                <w:rFonts w:ascii="Calibri" w:hAnsi="Calibri" w:cs="Calibri"/>
                <w:b/>
                <w:sz w:val="16"/>
                <w:szCs w:val="16"/>
                <w:lang w:val="fr-FR"/>
              </w:rPr>
            </w:pPr>
          </w:p>
          <w:p w:rsidR="007F47BF" w:rsidRPr="00101DAB" w:rsidRDefault="007F47BF" w:rsidP="00392B6E">
            <w:pPr>
              <w:rPr>
                <w:rFonts w:ascii="Calibri" w:hAnsi="Calibri" w:cs="Calibri"/>
                <w:b/>
                <w:sz w:val="16"/>
                <w:szCs w:val="16"/>
                <w:lang w:val="fr-FR"/>
              </w:rPr>
            </w:pPr>
          </w:p>
          <w:p w:rsidR="007F47BF" w:rsidRPr="00101DAB" w:rsidRDefault="007F47BF" w:rsidP="00392B6E">
            <w:pPr>
              <w:rPr>
                <w:rFonts w:ascii="Calibri" w:hAnsi="Calibri" w:cs="Calibri"/>
                <w:b/>
                <w:sz w:val="16"/>
                <w:szCs w:val="16"/>
                <w:lang w:val="fr-FR"/>
              </w:rPr>
            </w:pPr>
          </w:p>
          <w:p w:rsidR="007F47BF" w:rsidRPr="00101DAB" w:rsidRDefault="007F47BF" w:rsidP="00392B6E">
            <w:pPr>
              <w:rPr>
                <w:rFonts w:ascii="Calibri" w:hAnsi="Calibri" w:cs="Calibri"/>
                <w:b/>
                <w:sz w:val="16"/>
                <w:szCs w:val="16"/>
                <w:lang w:val="fr-FR"/>
              </w:rPr>
            </w:pPr>
          </w:p>
          <w:p w:rsidR="007F47BF" w:rsidRPr="00101DAB" w:rsidRDefault="007F47BF" w:rsidP="00392B6E">
            <w:pPr>
              <w:rPr>
                <w:rFonts w:ascii="Calibri" w:hAnsi="Calibri" w:cs="Calibri"/>
                <w:b/>
                <w:sz w:val="16"/>
                <w:szCs w:val="16"/>
                <w:lang w:val="fr-FR"/>
              </w:rPr>
            </w:pPr>
          </w:p>
          <w:p w:rsidR="007F47BF" w:rsidRPr="00101DAB" w:rsidRDefault="007F47BF" w:rsidP="00392B6E">
            <w:pPr>
              <w:rPr>
                <w:rFonts w:ascii="Calibri" w:hAnsi="Calibri" w:cs="Calibri"/>
                <w:b/>
                <w:sz w:val="16"/>
                <w:szCs w:val="16"/>
                <w:lang w:val="fr-FR"/>
              </w:rPr>
            </w:pPr>
          </w:p>
          <w:p w:rsidR="007F47BF" w:rsidRPr="00101DAB" w:rsidRDefault="007F47BF" w:rsidP="00392B6E">
            <w:pPr>
              <w:rPr>
                <w:rFonts w:ascii="Calibri" w:hAnsi="Calibri" w:cs="Calibri"/>
                <w:b/>
                <w:sz w:val="16"/>
                <w:szCs w:val="16"/>
                <w:lang w:val="fr-FR"/>
              </w:rPr>
            </w:pPr>
            <w:r w:rsidRPr="00101DAB">
              <w:rPr>
                <w:rFonts w:ascii="Calibri" w:hAnsi="Calibri" w:cs="Calibri"/>
                <w:b/>
                <w:sz w:val="16"/>
                <w:szCs w:val="16"/>
                <w:lang w:val="fr-FR"/>
              </w:rPr>
              <w:t>100 000$</w:t>
            </w:r>
          </w:p>
        </w:tc>
        <w:tc>
          <w:tcPr>
            <w:tcW w:w="3373" w:type="dxa"/>
          </w:tcPr>
          <w:p w:rsidR="007F47BF" w:rsidRDefault="00266841" w:rsidP="00392B6E">
            <w:pPr>
              <w:rPr>
                <w:rFonts w:ascii="Calibri" w:hAnsi="Calibri" w:cs="Calibri"/>
                <w:sz w:val="16"/>
                <w:szCs w:val="16"/>
                <w:lang w:val="fr-FR"/>
              </w:rPr>
            </w:pPr>
            <w:r>
              <w:rPr>
                <w:rFonts w:ascii="Calibri" w:hAnsi="Calibri" w:cs="Calibri"/>
                <w:sz w:val="16"/>
                <w:szCs w:val="16"/>
                <w:lang w:val="fr-FR"/>
              </w:rPr>
              <w:t>RBP</w:t>
            </w:r>
            <w:r w:rsidR="008B17A1" w:rsidRPr="00392B6E">
              <w:rPr>
                <w:rFonts w:ascii="Calibri" w:hAnsi="Calibri" w:cs="Calibri"/>
                <w:sz w:val="16"/>
                <w:szCs w:val="16"/>
                <w:lang w:val="fr-FR"/>
              </w:rPr>
              <w:t xml:space="preserve"> 5.5(a) : Les résultats de l’évaluation sont analysés et ventilés. Le MENFOP organise des ateliers pour communiquer les résultats aux acteurs de l’éducation, notamment les écoles. </w:t>
            </w:r>
          </w:p>
          <w:p w:rsidR="007F47BF" w:rsidRDefault="007F47BF" w:rsidP="00392B6E">
            <w:pPr>
              <w:rPr>
                <w:rFonts w:ascii="Calibri" w:hAnsi="Calibri" w:cs="Calibri"/>
                <w:sz w:val="16"/>
                <w:szCs w:val="16"/>
                <w:lang w:val="fr-FR"/>
              </w:rPr>
            </w:pPr>
          </w:p>
          <w:p w:rsidR="007F47BF" w:rsidRDefault="007F47BF" w:rsidP="00392B6E">
            <w:pPr>
              <w:rPr>
                <w:rFonts w:ascii="Calibri" w:hAnsi="Calibri" w:cs="Calibri"/>
                <w:sz w:val="16"/>
                <w:szCs w:val="16"/>
                <w:lang w:val="fr-FR"/>
              </w:rPr>
            </w:pPr>
          </w:p>
          <w:p w:rsidR="007F47BF" w:rsidRDefault="007F47BF" w:rsidP="00392B6E">
            <w:pPr>
              <w:rPr>
                <w:rFonts w:ascii="Calibri" w:hAnsi="Calibri" w:cs="Calibri"/>
                <w:sz w:val="16"/>
                <w:szCs w:val="16"/>
                <w:lang w:val="fr-FR"/>
              </w:rPr>
            </w:pPr>
          </w:p>
          <w:p w:rsidR="007F47BF" w:rsidRDefault="007F47BF" w:rsidP="00392B6E">
            <w:pPr>
              <w:rPr>
                <w:rFonts w:ascii="Calibri" w:hAnsi="Calibri" w:cs="Calibri"/>
                <w:sz w:val="16"/>
                <w:szCs w:val="16"/>
                <w:lang w:val="fr-FR"/>
              </w:rPr>
            </w:pPr>
          </w:p>
          <w:p w:rsidR="008B17A1" w:rsidRPr="00392B6E" w:rsidRDefault="00266841" w:rsidP="00392B6E">
            <w:pPr>
              <w:rPr>
                <w:rFonts w:ascii="Calibri" w:hAnsi="Calibri" w:cs="Calibri"/>
                <w:sz w:val="16"/>
                <w:szCs w:val="16"/>
                <w:lang w:val="fr-FR"/>
              </w:rPr>
            </w:pPr>
            <w:r>
              <w:rPr>
                <w:rFonts w:ascii="Calibri" w:hAnsi="Calibri" w:cs="Calibri"/>
                <w:sz w:val="16"/>
                <w:szCs w:val="16"/>
                <w:lang w:val="fr-FR"/>
              </w:rPr>
              <w:t>RBP</w:t>
            </w:r>
            <w:r w:rsidR="008B17A1" w:rsidRPr="00392B6E">
              <w:rPr>
                <w:rFonts w:ascii="Calibri" w:hAnsi="Calibri" w:cs="Calibri"/>
                <w:sz w:val="16"/>
                <w:szCs w:val="16"/>
                <w:lang w:val="fr-FR"/>
              </w:rPr>
              <w:t xml:space="preserve"> 5.5(b) : Il s’agit d’un indicateur de part variable du PME relatif à la qualité, qui mesure le pourcentage d’élèves de 2e année atteignant le seuil minimal acceptable d’apprentissage. L’augmentation significative au plan statistique sera calculée sur la base des résultats des OTI révisés de la 2e année, administrés la cinquième année, par rapport au niveau de référence (calculé la quatrième année du projet).</w:t>
            </w:r>
          </w:p>
        </w:tc>
        <w:tc>
          <w:tcPr>
            <w:tcW w:w="3885" w:type="dxa"/>
          </w:tcPr>
          <w:p w:rsidR="008B17A1" w:rsidRPr="00392B6E" w:rsidRDefault="00266841" w:rsidP="00392B6E">
            <w:pPr>
              <w:rPr>
                <w:rFonts w:ascii="Calibri" w:hAnsi="Calibri" w:cs="Calibri"/>
                <w:sz w:val="16"/>
                <w:szCs w:val="16"/>
                <w:lang w:val="fr-FR"/>
              </w:rPr>
            </w:pPr>
            <w:r>
              <w:rPr>
                <w:rFonts w:ascii="Calibri" w:hAnsi="Calibri" w:cs="Calibri"/>
                <w:sz w:val="16"/>
                <w:szCs w:val="16"/>
                <w:lang w:val="fr-FR"/>
              </w:rPr>
              <w:t>RBP</w:t>
            </w:r>
            <w:r w:rsidR="008B17A1" w:rsidRPr="00392B6E">
              <w:rPr>
                <w:rFonts w:ascii="Calibri" w:hAnsi="Calibri" w:cs="Calibri"/>
                <w:sz w:val="16"/>
                <w:szCs w:val="16"/>
                <w:lang w:val="fr-FR"/>
              </w:rPr>
              <w:t xml:space="preserve"> 5.5(a) : L’agence de vérification vérifiera avec le MENFOP, et au moyen de contrôles inopinés dans un échantillon d’écoles (comme convenu avec le MENFOP et la Banque mondiale), que les résultats sont communiqués à toutes les écoles primaires participantes et que les écoles ont reçu des directives sur l’utilisation des résultats de l’évaluation afin d’améliorer l’enseignement et l’apprentissage. Formule de décaissement : 100 000 USD pour 28 écoles, avec un maximum de 500 000 USD et un seuil de paiement minimal de 100 000 USD.</w:t>
            </w:r>
          </w:p>
          <w:p w:rsidR="008B17A1" w:rsidRPr="00392B6E" w:rsidRDefault="00266841" w:rsidP="00392B6E">
            <w:pPr>
              <w:rPr>
                <w:rFonts w:ascii="Calibri" w:hAnsi="Calibri" w:cs="Calibri"/>
                <w:sz w:val="16"/>
                <w:szCs w:val="16"/>
                <w:lang w:val="fr-FR"/>
              </w:rPr>
            </w:pPr>
            <w:r>
              <w:rPr>
                <w:rFonts w:ascii="Calibri" w:hAnsi="Calibri" w:cs="Calibri"/>
                <w:sz w:val="16"/>
                <w:szCs w:val="16"/>
                <w:lang w:val="fr-FR"/>
              </w:rPr>
              <w:t>RBP</w:t>
            </w:r>
            <w:r w:rsidR="008B17A1" w:rsidRPr="00392B6E">
              <w:rPr>
                <w:rFonts w:ascii="Calibri" w:hAnsi="Calibri" w:cs="Calibri"/>
                <w:sz w:val="16"/>
                <w:szCs w:val="16"/>
                <w:lang w:val="fr-FR"/>
              </w:rPr>
              <w:t xml:space="preserve"> 5.5(b) : L’agence de vérification vérifiera les chiffres rapportés par rapport aux résultats des OTI de 2e année. Formule de décaissement :100 000 USD pour chaque point de pourcentage d’augmentation des élèves de deuxième année atteignant les niveaux d’apprentissage minimaux établis, avec un maximum de 500 000 USD et un seuil de paiement minimal de 100 000 USD.</w:t>
            </w:r>
          </w:p>
        </w:tc>
      </w:tr>
      <w:tr w:rsidR="008B17A1" w:rsidRPr="00392B6E" w:rsidTr="00101DAB">
        <w:trPr>
          <w:trHeight w:val="378"/>
          <w:jc w:val="center"/>
        </w:trPr>
        <w:tc>
          <w:tcPr>
            <w:tcW w:w="1584" w:type="dxa"/>
            <w:shd w:val="clear" w:color="auto" w:fill="D9E2F3" w:themeFill="accent1" w:themeFillTint="33"/>
            <w:vAlign w:val="center"/>
          </w:tcPr>
          <w:p w:rsidR="008B17A1" w:rsidRPr="00392B6E" w:rsidRDefault="00C61AEA" w:rsidP="00101DAB">
            <w:pPr>
              <w:jc w:val="center"/>
              <w:rPr>
                <w:rFonts w:ascii="Calibri" w:hAnsi="Calibri" w:cs="Calibri"/>
                <w:b/>
                <w:bCs/>
                <w:sz w:val="16"/>
                <w:szCs w:val="16"/>
                <w:lang w:val="fr-FR"/>
              </w:rPr>
            </w:pPr>
            <w:r w:rsidRPr="00C61AEA">
              <w:rPr>
                <w:rFonts w:ascii="Calibri" w:hAnsi="Calibri" w:cs="Calibri"/>
                <w:b/>
                <w:bCs/>
                <w:sz w:val="16"/>
                <w:szCs w:val="16"/>
                <w:lang w:val="fr-FR"/>
              </w:rPr>
              <w:t>TOTAL en US$</w:t>
            </w:r>
          </w:p>
        </w:tc>
        <w:tc>
          <w:tcPr>
            <w:tcW w:w="1126" w:type="dxa"/>
            <w:shd w:val="clear" w:color="auto" w:fill="D9E2F3" w:themeFill="accent1" w:themeFillTint="33"/>
            <w:vAlign w:val="center"/>
          </w:tcPr>
          <w:p w:rsidR="008B17A1" w:rsidRPr="00392B6E" w:rsidRDefault="00074217" w:rsidP="00101DAB">
            <w:pPr>
              <w:jc w:val="center"/>
              <w:rPr>
                <w:rFonts w:ascii="Calibri" w:hAnsi="Calibri" w:cs="Calibri"/>
                <w:b/>
                <w:bCs/>
                <w:sz w:val="16"/>
                <w:szCs w:val="16"/>
              </w:rPr>
            </w:pPr>
            <w:r>
              <w:rPr>
                <w:rFonts w:ascii="Calibri" w:hAnsi="Calibri" w:cs="Calibri"/>
                <w:b/>
                <w:bCs/>
                <w:sz w:val="16"/>
                <w:szCs w:val="16"/>
              </w:rPr>
              <w:t>2 0</w:t>
            </w:r>
            <w:r w:rsidR="008B17A1" w:rsidRPr="00392B6E">
              <w:rPr>
                <w:rFonts w:ascii="Calibri" w:hAnsi="Calibri" w:cs="Calibri"/>
                <w:b/>
                <w:bCs/>
                <w:sz w:val="16"/>
                <w:szCs w:val="16"/>
              </w:rPr>
              <w:t>00,000</w:t>
            </w:r>
            <w:r w:rsidR="00C61AEA" w:rsidRPr="00C61AEA">
              <w:rPr>
                <w:rFonts w:ascii="Calibri" w:hAnsi="Calibri" w:cs="Calibri"/>
                <w:b/>
                <w:bCs/>
                <w:sz w:val="16"/>
                <w:szCs w:val="16"/>
              </w:rPr>
              <w:t>$</w:t>
            </w:r>
          </w:p>
        </w:tc>
        <w:tc>
          <w:tcPr>
            <w:tcW w:w="1252" w:type="dxa"/>
            <w:shd w:val="clear" w:color="auto" w:fill="D9E2F3" w:themeFill="accent1" w:themeFillTint="33"/>
            <w:vAlign w:val="center"/>
          </w:tcPr>
          <w:p w:rsidR="008B17A1" w:rsidRPr="00392B6E" w:rsidRDefault="00074217" w:rsidP="00101DAB">
            <w:pPr>
              <w:jc w:val="center"/>
              <w:rPr>
                <w:rFonts w:ascii="Calibri" w:hAnsi="Calibri" w:cs="Calibri"/>
                <w:b/>
                <w:bCs/>
                <w:sz w:val="16"/>
                <w:szCs w:val="16"/>
              </w:rPr>
            </w:pPr>
            <w:r>
              <w:rPr>
                <w:rFonts w:ascii="Calibri" w:hAnsi="Calibri" w:cs="Calibri"/>
                <w:b/>
                <w:bCs/>
                <w:sz w:val="16"/>
                <w:szCs w:val="16"/>
              </w:rPr>
              <w:t>14</w:t>
            </w:r>
            <w:r w:rsidR="008B17A1" w:rsidRPr="00392B6E">
              <w:rPr>
                <w:rFonts w:ascii="Calibri" w:hAnsi="Calibri" w:cs="Calibri"/>
                <w:b/>
                <w:bCs/>
                <w:sz w:val="16"/>
                <w:szCs w:val="16"/>
              </w:rPr>
              <w:t>50,000</w:t>
            </w:r>
            <w:r w:rsidR="00C61AEA" w:rsidRPr="00C61AEA">
              <w:rPr>
                <w:rFonts w:ascii="Calibri" w:hAnsi="Calibri" w:cs="Calibri"/>
                <w:b/>
                <w:bCs/>
                <w:sz w:val="16"/>
                <w:szCs w:val="16"/>
              </w:rPr>
              <w:t>$</w:t>
            </w:r>
          </w:p>
        </w:tc>
        <w:tc>
          <w:tcPr>
            <w:tcW w:w="2697" w:type="dxa"/>
            <w:shd w:val="clear" w:color="auto" w:fill="D9E2F3" w:themeFill="accent1" w:themeFillTint="33"/>
            <w:vAlign w:val="center"/>
          </w:tcPr>
          <w:p w:rsidR="008B17A1" w:rsidRPr="00392B6E" w:rsidRDefault="00074217" w:rsidP="00101DAB">
            <w:pPr>
              <w:jc w:val="center"/>
              <w:rPr>
                <w:rFonts w:ascii="Calibri" w:hAnsi="Calibri" w:cs="Calibri"/>
                <w:b/>
                <w:bCs/>
                <w:sz w:val="16"/>
                <w:szCs w:val="16"/>
              </w:rPr>
            </w:pPr>
            <w:r>
              <w:rPr>
                <w:rFonts w:ascii="Calibri" w:hAnsi="Calibri" w:cs="Calibri"/>
                <w:b/>
                <w:bCs/>
                <w:sz w:val="16"/>
                <w:szCs w:val="16"/>
              </w:rPr>
              <w:t>2,0</w:t>
            </w:r>
            <w:r w:rsidR="008B17A1" w:rsidRPr="00392B6E">
              <w:rPr>
                <w:rFonts w:ascii="Calibri" w:hAnsi="Calibri" w:cs="Calibri"/>
                <w:b/>
                <w:bCs/>
                <w:sz w:val="16"/>
                <w:szCs w:val="16"/>
              </w:rPr>
              <w:t xml:space="preserve">00,000 </w:t>
            </w:r>
            <w:r w:rsidR="00C61AEA" w:rsidRPr="00C61AEA">
              <w:rPr>
                <w:rFonts w:ascii="Calibri" w:hAnsi="Calibri" w:cs="Calibri"/>
                <w:b/>
                <w:bCs/>
                <w:sz w:val="16"/>
                <w:szCs w:val="16"/>
              </w:rPr>
              <w:t>$</w:t>
            </w:r>
          </w:p>
        </w:tc>
        <w:tc>
          <w:tcPr>
            <w:tcW w:w="964" w:type="dxa"/>
            <w:shd w:val="clear" w:color="auto" w:fill="D9E2F3" w:themeFill="accent1" w:themeFillTint="33"/>
            <w:vAlign w:val="center"/>
          </w:tcPr>
          <w:p w:rsidR="008B17A1" w:rsidRPr="00392B6E" w:rsidRDefault="00074217" w:rsidP="00101DAB">
            <w:pPr>
              <w:jc w:val="center"/>
              <w:rPr>
                <w:rFonts w:ascii="Calibri" w:hAnsi="Calibri" w:cs="Calibri"/>
                <w:b/>
                <w:bCs/>
                <w:sz w:val="16"/>
                <w:szCs w:val="16"/>
                <w:lang w:val="fr-FR"/>
              </w:rPr>
            </w:pPr>
            <w:r>
              <w:rPr>
                <w:rFonts w:ascii="Calibri" w:hAnsi="Calibri" w:cs="Calibri"/>
                <w:b/>
                <w:bCs/>
                <w:sz w:val="16"/>
                <w:szCs w:val="16"/>
                <w:lang w:val="fr-FR"/>
              </w:rPr>
              <w:t>5</w:t>
            </w:r>
            <w:r w:rsidR="00C61AEA" w:rsidRPr="00C61AEA">
              <w:rPr>
                <w:rFonts w:ascii="Calibri" w:hAnsi="Calibri" w:cs="Calibri"/>
                <w:b/>
                <w:bCs/>
                <w:sz w:val="16"/>
                <w:szCs w:val="16"/>
                <w:lang w:val="fr-FR"/>
              </w:rPr>
              <w:t>50</w:t>
            </w:r>
            <w:r w:rsidR="008B17A1" w:rsidRPr="00392B6E">
              <w:rPr>
                <w:rFonts w:ascii="Calibri" w:hAnsi="Calibri" w:cs="Calibri"/>
                <w:b/>
                <w:bCs/>
                <w:sz w:val="16"/>
                <w:szCs w:val="16"/>
                <w:lang w:val="fr-FR"/>
              </w:rPr>
              <w:t>,000</w:t>
            </w:r>
            <w:r w:rsidR="00C61AEA" w:rsidRPr="00C61AEA">
              <w:rPr>
                <w:rFonts w:ascii="Calibri" w:hAnsi="Calibri" w:cs="Calibri"/>
                <w:b/>
                <w:bCs/>
                <w:sz w:val="16"/>
                <w:szCs w:val="16"/>
                <w:lang w:val="fr-FR"/>
              </w:rPr>
              <w:t>$</w:t>
            </w:r>
          </w:p>
        </w:tc>
        <w:tc>
          <w:tcPr>
            <w:tcW w:w="3373" w:type="dxa"/>
            <w:shd w:val="clear" w:color="auto" w:fill="D9E2F3" w:themeFill="accent1" w:themeFillTint="33"/>
            <w:vAlign w:val="center"/>
          </w:tcPr>
          <w:p w:rsidR="008B17A1" w:rsidRPr="00392B6E" w:rsidRDefault="008B17A1" w:rsidP="00101DAB">
            <w:pPr>
              <w:jc w:val="center"/>
              <w:rPr>
                <w:rFonts w:ascii="Calibri" w:hAnsi="Calibri" w:cs="Calibri"/>
                <w:b/>
                <w:bCs/>
                <w:sz w:val="16"/>
                <w:szCs w:val="16"/>
                <w:lang w:val="fr-FR"/>
              </w:rPr>
            </w:pPr>
          </w:p>
        </w:tc>
        <w:tc>
          <w:tcPr>
            <w:tcW w:w="3885" w:type="dxa"/>
            <w:shd w:val="clear" w:color="auto" w:fill="D9E2F3" w:themeFill="accent1" w:themeFillTint="33"/>
            <w:vAlign w:val="center"/>
          </w:tcPr>
          <w:p w:rsidR="008B17A1" w:rsidRPr="00392B6E" w:rsidRDefault="008B17A1" w:rsidP="00101DAB">
            <w:pPr>
              <w:jc w:val="center"/>
              <w:rPr>
                <w:rFonts w:ascii="Calibri" w:hAnsi="Calibri" w:cs="Calibri"/>
                <w:sz w:val="16"/>
                <w:szCs w:val="16"/>
                <w:lang w:val="fr-FR"/>
              </w:rPr>
            </w:pPr>
          </w:p>
        </w:tc>
      </w:tr>
    </w:tbl>
    <w:p w:rsidR="00392B6E" w:rsidRPr="00392B6E" w:rsidRDefault="00392B6E" w:rsidP="00392B6E">
      <w:pPr>
        <w:spacing w:after="0" w:line="240" w:lineRule="auto"/>
        <w:rPr>
          <w:rFonts w:ascii="Calibri" w:hAnsi="Calibri" w:cs="Calibri"/>
          <w:sz w:val="16"/>
          <w:szCs w:val="16"/>
          <w:lang w:val="fr-FR"/>
        </w:rPr>
      </w:pPr>
    </w:p>
    <w:p w:rsidR="00392B6E" w:rsidRPr="00392B6E" w:rsidRDefault="00392B6E" w:rsidP="00392B6E">
      <w:pPr>
        <w:spacing w:after="0" w:line="240" w:lineRule="auto"/>
        <w:rPr>
          <w:rFonts w:ascii="Calibri" w:hAnsi="Calibri" w:cs="Calibri"/>
          <w:sz w:val="16"/>
          <w:szCs w:val="16"/>
          <w:lang w:val="fr-FR"/>
        </w:rPr>
      </w:pPr>
    </w:p>
    <w:p w:rsidR="00101DAB" w:rsidRPr="00101DAB" w:rsidRDefault="00101DAB" w:rsidP="00101DAB">
      <w:pPr>
        <w:jc w:val="right"/>
        <w:rPr>
          <w:rFonts w:ascii="Arial Narrow" w:hAnsi="Arial Narrow"/>
          <w:i/>
          <w:sz w:val="20"/>
          <w:szCs w:val="24"/>
          <w:lang w:val="fr-FR"/>
        </w:rPr>
      </w:pPr>
      <w:r>
        <w:rPr>
          <w:rFonts w:ascii="Arial Narrow" w:hAnsi="Arial Narrow"/>
          <w:i/>
          <w:sz w:val="20"/>
          <w:szCs w:val="24"/>
          <w:lang w:val="fr-FR"/>
        </w:rPr>
        <w:t>…</w:t>
      </w:r>
      <w:r w:rsidRPr="00101DAB">
        <w:rPr>
          <w:rFonts w:ascii="Arial Narrow" w:hAnsi="Arial Narrow"/>
          <w:i/>
          <w:sz w:val="20"/>
          <w:szCs w:val="24"/>
          <w:lang w:val="fr-FR"/>
        </w:rPr>
        <w:t>Fin du TDRS</w:t>
      </w:r>
    </w:p>
    <w:p w:rsidR="00392B6E" w:rsidRPr="00392B6E" w:rsidRDefault="00392B6E"/>
    <w:p w:rsidR="00EA5A75" w:rsidRPr="00392B6E" w:rsidRDefault="00EA5A75"/>
    <w:sectPr w:rsidR="00EA5A75" w:rsidRPr="00392B6E" w:rsidSect="00392B6E">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09E" w:rsidRDefault="00F5309E" w:rsidP="00487199">
      <w:pPr>
        <w:spacing w:after="0" w:line="240" w:lineRule="auto"/>
      </w:pPr>
      <w:r>
        <w:separator/>
      </w:r>
    </w:p>
  </w:endnote>
  <w:endnote w:type="continuationSeparator" w:id="1">
    <w:p w:rsidR="00F5309E" w:rsidRDefault="00F5309E" w:rsidP="004871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1047973860"/>
      <w:docPartObj>
        <w:docPartGallery w:val="Page Numbers (Bottom of Page)"/>
        <w:docPartUnique/>
      </w:docPartObj>
    </w:sdtPr>
    <w:sdtContent>
      <w:sdt>
        <w:sdtPr>
          <w:rPr>
            <w:sz w:val="18"/>
          </w:rPr>
          <w:id w:val="123787606"/>
          <w:docPartObj>
            <w:docPartGallery w:val="Page Numbers (Top of Page)"/>
            <w:docPartUnique/>
          </w:docPartObj>
        </w:sdtPr>
        <w:sdtContent>
          <w:p w:rsidR="00487199" w:rsidRPr="007976E9" w:rsidRDefault="00487199">
            <w:pPr>
              <w:pStyle w:val="Pieddepage"/>
              <w:jc w:val="right"/>
              <w:rPr>
                <w:sz w:val="18"/>
              </w:rPr>
            </w:pPr>
            <w:r w:rsidRPr="007976E9">
              <w:rPr>
                <w:sz w:val="18"/>
              </w:rPr>
              <w:t xml:space="preserve">Page </w:t>
            </w:r>
            <w:r w:rsidR="0065142C" w:rsidRPr="007976E9">
              <w:rPr>
                <w:b/>
                <w:sz w:val="20"/>
                <w:szCs w:val="24"/>
              </w:rPr>
              <w:fldChar w:fldCharType="begin"/>
            </w:r>
            <w:r w:rsidRPr="007976E9">
              <w:rPr>
                <w:b/>
                <w:sz w:val="18"/>
              </w:rPr>
              <w:instrText>PAGE</w:instrText>
            </w:r>
            <w:r w:rsidR="0065142C" w:rsidRPr="007976E9">
              <w:rPr>
                <w:b/>
                <w:sz w:val="20"/>
                <w:szCs w:val="24"/>
              </w:rPr>
              <w:fldChar w:fldCharType="separate"/>
            </w:r>
            <w:r w:rsidR="007D659D">
              <w:rPr>
                <w:b/>
                <w:noProof/>
                <w:sz w:val="18"/>
              </w:rPr>
              <w:t>1</w:t>
            </w:r>
            <w:r w:rsidR="0065142C" w:rsidRPr="007976E9">
              <w:rPr>
                <w:b/>
                <w:sz w:val="20"/>
                <w:szCs w:val="24"/>
              </w:rPr>
              <w:fldChar w:fldCharType="end"/>
            </w:r>
            <w:r w:rsidRPr="007976E9">
              <w:rPr>
                <w:sz w:val="18"/>
              </w:rPr>
              <w:t xml:space="preserve"> sur </w:t>
            </w:r>
            <w:r w:rsidR="0065142C" w:rsidRPr="007976E9">
              <w:rPr>
                <w:b/>
                <w:sz w:val="20"/>
                <w:szCs w:val="24"/>
              </w:rPr>
              <w:fldChar w:fldCharType="begin"/>
            </w:r>
            <w:r w:rsidRPr="007976E9">
              <w:rPr>
                <w:b/>
                <w:sz w:val="18"/>
              </w:rPr>
              <w:instrText>NUMPAGES</w:instrText>
            </w:r>
            <w:r w:rsidR="0065142C" w:rsidRPr="007976E9">
              <w:rPr>
                <w:b/>
                <w:sz w:val="20"/>
                <w:szCs w:val="24"/>
              </w:rPr>
              <w:fldChar w:fldCharType="separate"/>
            </w:r>
            <w:r w:rsidR="007D659D">
              <w:rPr>
                <w:b/>
                <w:noProof/>
                <w:sz w:val="18"/>
              </w:rPr>
              <w:t>6</w:t>
            </w:r>
            <w:r w:rsidR="0065142C" w:rsidRPr="007976E9">
              <w:rPr>
                <w:b/>
                <w:sz w:val="20"/>
                <w:szCs w:val="24"/>
              </w:rPr>
              <w:fldChar w:fldCharType="end"/>
            </w:r>
          </w:p>
        </w:sdtContent>
      </w:sdt>
    </w:sdtContent>
  </w:sdt>
  <w:p w:rsidR="00487199" w:rsidRDefault="0048719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09E" w:rsidRDefault="00F5309E" w:rsidP="00487199">
      <w:pPr>
        <w:spacing w:after="0" w:line="240" w:lineRule="auto"/>
      </w:pPr>
      <w:r>
        <w:separator/>
      </w:r>
    </w:p>
  </w:footnote>
  <w:footnote w:type="continuationSeparator" w:id="1">
    <w:p w:rsidR="00F5309E" w:rsidRDefault="00F5309E" w:rsidP="004871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4525"/>
    <w:multiLevelType w:val="hybridMultilevel"/>
    <w:tmpl w:val="C1E892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7F45E68"/>
    <w:multiLevelType w:val="hybridMultilevel"/>
    <w:tmpl w:val="1DA0FCA0"/>
    <w:lvl w:ilvl="0" w:tplc="FFFFFFFF">
      <w:start w:val="1"/>
      <w:numFmt w:val="bullet"/>
      <w:lvlText w:val=""/>
      <w:lvlJc w:val="left"/>
      <w:pPr>
        <w:tabs>
          <w:tab w:val="num" w:pos="360"/>
        </w:tabs>
        <w:ind w:left="360" w:hanging="360"/>
      </w:pPr>
      <w:rPr>
        <w:rFonts w:ascii="Symbol" w:hAnsi="Symbol" w:hint="default"/>
      </w:rPr>
    </w:lvl>
    <w:lvl w:ilvl="1" w:tplc="58BA4D48">
      <w:numFmt w:val="bullet"/>
      <w:lvlText w:val="-"/>
      <w:lvlJc w:val="left"/>
      <w:pPr>
        <w:tabs>
          <w:tab w:val="num" w:pos="1080"/>
        </w:tabs>
        <w:ind w:left="1080" w:hanging="360"/>
      </w:pPr>
      <w:rPr>
        <w:rFonts w:ascii="Calibri" w:eastAsia="Calibri" w:hAnsi="Calibri"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0ACE2F9C"/>
    <w:multiLevelType w:val="hybridMultilevel"/>
    <w:tmpl w:val="7B8C0BBC"/>
    <w:lvl w:ilvl="0" w:tplc="040C000F">
      <w:start w:val="1"/>
      <w:numFmt w:val="decimal"/>
      <w:lvlText w:val="%1."/>
      <w:lvlJc w:val="left"/>
      <w:pPr>
        <w:ind w:left="751" w:hanging="360"/>
      </w:pPr>
    </w:lvl>
    <w:lvl w:ilvl="1" w:tplc="040C0019" w:tentative="1">
      <w:start w:val="1"/>
      <w:numFmt w:val="lowerLetter"/>
      <w:lvlText w:val="%2."/>
      <w:lvlJc w:val="left"/>
      <w:pPr>
        <w:ind w:left="1471" w:hanging="360"/>
      </w:pPr>
    </w:lvl>
    <w:lvl w:ilvl="2" w:tplc="040C001B" w:tentative="1">
      <w:start w:val="1"/>
      <w:numFmt w:val="lowerRoman"/>
      <w:lvlText w:val="%3."/>
      <w:lvlJc w:val="right"/>
      <w:pPr>
        <w:ind w:left="2191" w:hanging="180"/>
      </w:pPr>
    </w:lvl>
    <w:lvl w:ilvl="3" w:tplc="040C000F" w:tentative="1">
      <w:start w:val="1"/>
      <w:numFmt w:val="decimal"/>
      <w:lvlText w:val="%4."/>
      <w:lvlJc w:val="left"/>
      <w:pPr>
        <w:ind w:left="2911" w:hanging="360"/>
      </w:pPr>
    </w:lvl>
    <w:lvl w:ilvl="4" w:tplc="040C0019" w:tentative="1">
      <w:start w:val="1"/>
      <w:numFmt w:val="lowerLetter"/>
      <w:lvlText w:val="%5."/>
      <w:lvlJc w:val="left"/>
      <w:pPr>
        <w:ind w:left="3631" w:hanging="360"/>
      </w:pPr>
    </w:lvl>
    <w:lvl w:ilvl="5" w:tplc="040C001B" w:tentative="1">
      <w:start w:val="1"/>
      <w:numFmt w:val="lowerRoman"/>
      <w:lvlText w:val="%6."/>
      <w:lvlJc w:val="right"/>
      <w:pPr>
        <w:ind w:left="4351" w:hanging="180"/>
      </w:pPr>
    </w:lvl>
    <w:lvl w:ilvl="6" w:tplc="040C000F" w:tentative="1">
      <w:start w:val="1"/>
      <w:numFmt w:val="decimal"/>
      <w:lvlText w:val="%7."/>
      <w:lvlJc w:val="left"/>
      <w:pPr>
        <w:ind w:left="5071" w:hanging="360"/>
      </w:pPr>
    </w:lvl>
    <w:lvl w:ilvl="7" w:tplc="040C0019" w:tentative="1">
      <w:start w:val="1"/>
      <w:numFmt w:val="lowerLetter"/>
      <w:lvlText w:val="%8."/>
      <w:lvlJc w:val="left"/>
      <w:pPr>
        <w:ind w:left="5791" w:hanging="360"/>
      </w:pPr>
    </w:lvl>
    <w:lvl w:ilvl="8" w:tplc="040C001B" w:tentative="1">
      <w:start w:val="1"/>
      <w:numFmt w:val="lowerRoman"/>
      <w:lvlText w:val="%9."/>
      <w:lvlJc w:val="right"/>
      <w:pPr>
        <w:ind w:left="6511" w:hanging="180"/>
      </w:pPr>
    </w:lvl>
  </w:abstractNum>
  <w:abstractNum w:abstractNumId="3">
    <w:nsid w:val="0E98128E"/>
    <w:multiLevelType w:val="hybridMultilevel"/>
    <w:tmpl w:val="EA2C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96268"/>
    <w:multiLevelType w:val="multilevel"/>
    <w:tmpl w:val="7D825F1A"/>
    <w:lvl w:ilvl="0">
      <w:start w:val="1"/>
      <w:numFmt w:val="decimal"/>
      <w:lvlText w:val="%1."/>
      <w:lvlJc w:val="left"/>
      <w:pPr>
        <w:ind w:left="720" w:hanging="360"/>
      </w:pPr>
      <w:rPr>
        <w:rFonts w:hint="default"/>
      </w:rPr>
    </w:lvl>
    <w:lvl w:ilvl="1">
      <w:start w:val="3"/>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5">
    <w:nsid w:val="2FEB0520"/>
    <w:multiLevelType w:val="hybridMultilevel"/>
    <w:tmpl w:val="8D0A29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B4492A"/>
    <w:multiLevelType w:val="multilevel"/>
    <w:tmpl w:val="441C6DF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C9E7B77"/>
    <w:multiLevelType w:val="hybridMultilevel"/>
    <w:tmpl w:val="A56495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1102B33"/>
    <w:multiLevelType w:val="hybridMultilevel"/>
    <w:tmpl w:val="19F2B14E"/>
    <w:lvl w:ilvl="0" w:tplc="040C000F">
      <w:start w:val="1"/>
      <w:numFmt w:val="decimal"/>
      <w:lvlText w:val="%1."/>
      <w:lvlJc w:val="left"/>
      <w:pPr>
        <w:ind w:left="751" w:hanging="360"/>
      </w:pPr>
    </w:lvl>
    <w:lvl w:ilvl="1" w:tplc="040C0019" w:tentative="1">
      <w:start w:val="1"/>
      <w:numFmt w:val="lowerLetter"/>
      <w:lvlText w:val="%2."/>
      <w:lvlJc w:val="left"/>
      <w:pPr>
        <w:ind w:left="1471" w:hanging="360"/>
      </w:pPr>
    </w:lvl>
    <w:lvl w:ilvl="2" w:tplc="040C001B" w:tentative="1">
      <w:start w:val="1"/>
      <w:numFmt w:val="lowerRoman"/>
      <w:lvlText w:val="%3."/>
      <w:lvlJc w:val="right"/>
      <w:pPr>
        <w:ind w:left="2191" w:hanging="180"/>
      </w:pPr>
    </w:lvl>
    <w:lvl w:ilvl="3" w:tplc="040C000F" w:tentative="1">
      <w:start w:val="1"/>
      <w:numFmt w:val="decimal"/>
      <w:lvlText w:val="%4."/>
      <w:lvlJc w:val="left"/>
      <w:pPr>
        <w:ind w:left="2911" w:hanging="360"/>
      </w:pPr>
    </w:lvl>
    <w:lvl w:ilvl="4" w:tplc="040C0019" w:tentative="1">
      <w:start w:val="1"/>
      <w:numFmt w:val="lowerLetter"/>
      <w:lvlText w:val="%5."/>
      <w:lvlJc w:val="left"/>
      <w:pPr>
        <w:ind w:left="3631" w:hanging="360"/>
      </w:pPr>
    </w:lvl>
    <w:lvl w:ilvl="5" w:tplc="040C001B" w:tentative="1">
      <w:start w:val="1"/>
      <w:numFmt w:val="lowerRoman"/>
      <w:lvlText w:val="%6."/>
      <w:lvlJc w:val="right"/>
      <w:pPr>
        <w:ind w:left="4351" w:hanging="180"/>
      </w:pPr>
    </w:lvl>
    <w:lvl w:ilvl="6" w:tplc="040C000F" w:tentative="1">
      <w:start w:val="1"/>
      <w:numFmt w:val="decimal"/>
      <w:lvlText w:val="%7."/>
      <w:lvlJc w:val="left"/>
      <w:pPr>
        <w:ind w:left="5071" w:hanging="360"/>
      </w:pPr>
    </w:lvl>
    <w:lvl w:ilvl="7" w:tplc="040C0019" w:tentative="1">
      <w:start w:val="1"/>
      <w:numFmt w:val="lowerLetter"/>
      <w:lvlText w:val="%8."/>
      <w:lvlJc w:val="left"/>
      <w:pPr>
        <w:ind w:left="5791" w:hanging="360"/>
      </w:pPr>
    </w:lvl>
    <w:lvl w:ilvl="8" w:tplc="040C001B" w:tentative="1">
      <w:start w:val="1"/>
      <w:numFmt w:val="lowerRoman"/>
      <w:lvlText w:val="%9."/>
      <w:lvlJc w:val="right"/>
      <w:pPr>
        <w:ind w:left="6511" w:hanging="180"/>
      </w:pPr>
    </w:lvl>
  </w:abstractNum>
  <w:abstractNum w:abstractNumId="9">
    <w:nsid w:val="6DDE3FBC"/>
    <w:multiLevelType w:val="hybridMultilevel"/>
    <w:tmpl w:val="B3E4B4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E870F4A"/>
    <w:multiLevelType w:val="hybridMultilevel"/>
    <w:tmpl w:val="92DA60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FB26250"/>
    <w:multiLevelType w:val="hybridMultilevel"/>
    <w:tmpl w:val="A3B4AC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315224"/>
    <w:multiLevelType w:val="hybridMultilevel"/>
    <w:tmpl w:val="A83A22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43E4A6B"/>
    <w:multiLevelType w:val="hybridMultilevel"/>
    <w:tmpl w:val="6BE23A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9"/>
  </w:num>
  <w:num w:numId="5">
    <w:abstractNumId w:val="12"/>
  </w:num>
  <w:num w:numId="6">
    <w:abstractNumId w:val="13"/>
  </w:num>
  <w:num w:numId="7">
    <w:abstractNumId w:val="8"/>
  </w:num>
  <w:num w:numId="8">
    <w:abstractNumId w:val="2"/>
  </w:num>
  <w:num w:numId="9">
    <w:abstractNumId w:val="7"/>
  </w:num>
  <w:num w:numId="10">
    <w:abstractNumId w:val="3"/>
  </w:num>
  <w:num w:numId="11">
    <w:abstractNumId w:val="5"/>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6146"/>
  </w:hdrShapeDefaults>
  <w:footnotePr>
    <w:footnote w:id="0"/>
    <w:footnote w:id="1"/>
  </w:footnotePr>
  <w:endnotePr>
    <w:endnote w:id="0"/>
    <w:endnote w:id="1"/>
  </w:endnotePr>
  <w:compat/>
  <w:rsids>
    <w:rsidRoot w:val="002807DA"/>
    <w:rsid w:val="000176CC"/>
    <w:rsid w:val="0002543F"/>
    <w:rsid w:val="00034425"/>
    <w:rsid w:val="00042245"/>
    <w:rsid w:val="00052795"/>
    <w:rsid w:val="00073B49"/>
    <w:rsid w:val="00074217"/>
    <w:rsid w:val="00076BAC"/>
    <w:rsid w:val="0008411A"/>
    <w:rsid w:val="00096A79"/>
    <w:rsid w:val="000A1BC4"/>
    <w:rsid w:val="000A211E"/>
    <w:rsid w:val="000B4465"/>
    <w:rsid w:val="000B5252"/>
    <w:rsid w:val="000C0FFA"/>
    <w:rsid w:val="000C1FA1"/>
    <w:rsid w:val="000D2F31"/>
    <w:rsid w:val="000D36D8"/>
    <w:rsid w:val="000E575A"/>
    <w:rsid w:val="000F4ACC"/>
    <w:rsid w:val="000F516D"/>
    <w:rsid w:val="000F57E2"/>
    <w:rsid w:val="00101DAB"/>
    <w:rsid w:val="00104AB3"/>
    <w:rsid w:val="00105150"/>
    <w:rsid w:val="00120EC2"/>
    <w:rsid w:val="001249BD"/>
    <w:rsid w:val="00131BE6"/>
    <w:rsid w:val="00132F65"/>
    <w:rsid w:val="00143606"/>
    <w:rsid w:val="001477B2"/>
    <w:rsid w:val="00157D43"/>
    <w:rsid w:val="001631A3"/>
    <w:rsid w:val="00177B0A"/>
    <w:rsid w:val="00180FED"/>
    <w:rsid w:val="00183818"/>
    <w:rsid w:val="00197BAF"/>
    <w:rsid w:val="001A03E6"/>
    <w:rsid w:val="001C4512"/>
    <w:rsid w:val="001C4542"/>
    <w:rsid w:val="001E7994"/>
    <w:rsid w:val="001F548A"/>
    <w:rsid w:val="001F6487"/>
    <w:rsid w:val="0021537C"/>
    <w:rsid w:val="00252218"/>
    <w:rsid w:val="00256EA2"/>
    <w:rsid w:val="002574DC"/>
    <w:rsid w:val="00266841"/>
    <w:rsid w:val="002807DA"/>
    <w:rsid w:val="0028632D"/>
    <w:rsid w:val="002A25DA"/>
    <w:rsid w:val="002A431F"/>
    <w:rsid w:val="002A78F2"/>
    <w:rsid w:val="002B57AD"/>
    <w:rsid w:val="002C1B42"/>
    <w:rsid w:val="002D3544"/>
    <w:rsid w:val="002D3CFE"/>
    <w:rsid w:val="002E2E57"/>
    <w:rsid w:val="002E4128"/>
    <w:rsid w:val="002E452E"/>
    <w:rsid w:val="002F17FD"/>
    <w:rsid w:val="002F4C40"/>
    <w:rsid w:val="003346C4"/>
    <w:rsid w:val="00340733"/>
    <w:rsid w:val="003477A5"/>
    <w:rsid w:val="00374CFC"/>
    <w:rsid w:val="00380CF2"/>
    <w:rsid w:val="003827D2"/>
    <w:rsid w:val="0038408D"/>
    <w:rsid w:val="00392B6E"/>
    <w:rsid w:val="003B64DF"/>
    <w:rsid w:val="003D7679"/>
    <w:rsid w:val="003E0064"/>
    <w:rsid w:val="003E3FBF"/>
    <w:rsid w:val="0040684E"/>
    <w:rsid w:val="00453EA0"/>
    <w:rsid w:val="004627FB"/>
    <w:rsid w:val="0047449B"/>
    <w:rsid w:val="00474CFB"/>
    <w:rsid w:val="00475459"/>
    <w:rsid w:val="00475EA6"/>
    <w:rsid w:val="00483D07"/>
    <w:rsid w:val="00487199"/>
    <w:rsid w:val="004878FD"/>
    <w:rsid w:val="00493397"/>
    <w:rsid w:val="004A0A4D"/>
    <w:rsid w:val="004B7BF4"/>
    <w:rsid w:val="004D0BA3"/>
    <w:rsid w:val="004D7DD0"/>
    <w:rsid w:val="004E0346"/>
    <w:rsid w:val="004E2E09"/>
    <w:rsid w:val="004E438B"/>
    <w:rsid w:val="004F0D9C"/>
    <w:rsid w:val="004F5896"/>
    <w:rsid w:val="005129BC"/>
    <w:rsid w:val="00520245"/>
    <w:rsid w:val="00563A35"/>
    <w:rsid w:val="005701D9"/>
    <w:rsid w:val="005827DE"/>
    <w:rsid w:val="005A0A0D"/>
    <w:rsid w:val="005D2F3D"/>
    <w:rsid w:val="005E218C"/>
    <w:rsid w:val="005E36F1"/>
    <w:rsid w:val="005E7F41"/>
    <w:rsid w:val="005F2F05"/>
    <w:rsid w:val="00642A8E"/>
    <w:rsid w:val="0065142C"/>
    <w:rsid w:val="00653381"/>
    <w:rsid w:val="00660E90"/>
    <w:rsid w:val="00676B5D"/>
    <w:rsid w:val="00690C9F"/>
    <w:rsid w:val="006A6086"/>
    <w:rsid w:val="006B4DB7"/>
    <w:rsid w:val="006B6298"/>
    <w:rsid w:val="006C2C8B"/>
    <w:rsid w:val="006C69FF"/>
    <w:rsid w:val="006D08B1"/>
    <w:rsid w:val="006D5372"/>
    <w:rsid w:val="006E62FC"/>
    <w:rsid w:val="006E77E9"/>
    <w:rsid w:val="006F34DF"/>
    <w:rsid w:val="006F3AD9"/>
    <w:rsid w:val="006F749F"/>
    <w:rsid w:val="00702703"/>
    <w:rsid w:val="007068F0"/>
    <w:rsid w:val="007175D8"/>
    <w:rsid w:val="0072142A"/>
    <w:rsid w:val="0072772A"/>
    <w:rsid w:val="007358EF"/>
    <w:rsid w:val="00766908"/>
    <w:rsid w:val="007778CE"/>
    <w:rsid w:val="00792102"/>
    <w:rsid w:val="00793555"/>
    <w:rsid w:val="007976E9"/>
    <w:rsid w:val="007A2D54"/>
    <w:rsid w:val="007B2386"/>
    <w:rsid w:val="007C374E"/>
    <w:rsid w:val="007C538A"/>
    <w:rsid w:val="007D659D"/>
    <w:rsid w:val="007F2B22"/>
    <w:rsid w:val="007F47BF"/>
    <w:rsid w:val="0080624A"/>
    <w:rsid w:val="008239A4"/>
    <w:rsid w:val="0082504F"/>
    <w:rsid w:val="0087073C"/>
    <w:rsid w:val="00897E31"/>
    <w:rsid w:val="008A4A26"/>
    <w:rsid w:val="008A5F27"/>
    <w:rsid w:val="008B17A1"/>
    <w:rsid w:val="008D2B68"/>
    <w:rsid w:val="008F70F2"/>
    <w:rsid w:val="0092084A"/>
    <w:rsid w:val="00956390"/>
    <w:rsid w:val="00961C2C"/>
    <w:rsid w:val="009678EE"/>
    <w:rsid w:val="0097123A"/>
    <w:rsid w:val="00972201"/>
    <w:rsid w:val="0097774A"/>
    <w:rsid w:val="00981511"/>
    <w:rsid w:val="0098252D"/>
    <w:rsid w:val="00993862"/>
    <w:rsid w:val="009A26F9"/>
    <w:rsid w:val="009B5B9D"/>
    <w:rsid w:val="009B6F0A"/>
    <w:rsid w:val="009C75CC"/>
    <w:rsid w:val="009D3525"/>
    <w:rsid w:val="009D6EB9"/>
    <w:rsid w:val="009E3039"/>
    <w:rsid w:val="009E38B1"/>
    <w:rsid w:val="009E7097"/>
    <w:rsid w:val="00A00731"/>
    <w:rsid w:val="00A020F9"/>
    <w:rsid w:val="00A0696F"/>
    <w:rsid w:val="00A2655B"/>
    <w:rsid w:val="00A50CA3"/>
    <w:rsid w:val="00A5247D"/>
    <w:rsid w:val="00A62F0B"/>
    <w:rsid w:val="00A70E5F"/>
    <w:rsid w:val="00A77142"/>
    <w:rsid w:val="00A826B2"/>
    <w:rsid w:val="00A874B0"/>
    <w:rsid w:val="00AC50E1"/>
    <w:rsid w:val="00B21B6F"/>
    <w:rsid w:val="00B22818"/>
    <w:rsid w:val="00B4507A"/>
    <w:rsid w:val="00B615AA"/>
    <w:rsid w:val="00B620F8"/>
    <w:rsid w:val="00B75790"/>
    <w:rsid w:val="00B85862"/>
    <w:rsid w:val="00B87DE3"/>
    <w:rsid w:val="00B92021"/>
    <w:rsid w:val="00BE4757"/>
    <w:rsid w:val="00C0136B"/>
    <w:rsid w:val="00C024FF"/>
    <w:rsid w:val="00C17C8D"/>
    <w:rsid w:val="00C35C97"/>
    <w:rsid w:val="00C5001A"/>
    <w:rsid w:val="00C567ED"/>
    <w:rsid w:val="00C60D06"/>
    <w:rsid w:val="00C61AEA"/>
    <w:rsid w:val="00C70F4D"/>
    <w:rsid w:val="00C71E97"/>
    <w:rsid w:val="00C7255C"/>
    <w:rsid w:val="00C917CB"/>
    <w:rsid w:val="00CB73F9"/>
    <w:rsid w:val="00CD0205"/>
    <w:rsid w:val="00CE657F"/>
    <w:rsid w:val="00D440E6"/>
    <w:rsid w:val="00D515FB"/>
    <w:rsid w:val="00D6254D"/>
    <w:rsid w:val="00D73628"/>
    <w:rsid w:val="00D739DF"/>
    <w:rsid w:val="00D7624D"/>
    <w:rsid w:val="00D824A2"/>
    <w:rsid w:val="00DB05FC"/>
    <w:rsid w:val="00DB47FD"/>
    <w:rsid w:val="00DE0785"/>
    <w:rsid w:val="00DF00E9"/>
    <w:rsid w:val="00E272F7"/>
    <w:rsid w:val="00E520AC"/>
    <w:rsid w:val="00E62DE4"/>
    <w:rsid w:val="00E724DF"/>
    <w:rsid w:val="00E73BD1"/>
    <w:rsid w:val="00EA51A9"/>
    <w:rsid w:val="00EA5A75"/>
    <w:rsid w:val="00EB113B"/>
    <w:rsid w:val="00EB24AB"/>
    <w:rsid w:val="00EC2E3F"/>
    <w:rsid w:val="00EE0E62"/>
    <w:rsid w:val="00EE2807"/>
    <w:rsid w:val="00F0018F"/>
    <w:rsid w:val="00F125A1"/>
    <w:rsid w:val="00F2169F"/>
    <w:rsid w:val="00F30FAA"/>
    <w:rsid w:val="00F3225E"/>
    <w:rsid w:val="00F40593"/>
    <w:rsid w:val="00F5309E"/>
    <w:rsid w:val="00F56CC7"/>
    <w:rsid w:val="00F65BDB"/>
    <w:rsid w:val="00F84AE9"/>
    <w:rsid w:val="00F95F6E"/>
    <w:rsid w:val="00FA23F7"/>
    <w:rsid w:val="00FA4B32"/>
    <w:rsid w:val="00FC01EB"/>
    <w:rsid w:val="00FE7759"/>
    <w:rsid w:val="00FF7472"/>
    <w:rsid w:val="00FF76D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E9"/>
  </w:style>
  <w:style w:type="paragraph" w:styleId="Titre1">
    <w:name w:val="heading 1"/>
    <w:basedOn w:val="Normal"/>
    <w:next w:val="Normal"/>
    <w:link w:val="Titre1Car"/>
    <w:uiPriority w:val="9"/>
    <w:qFormat/>
    <w:rsid w:val="00D7624D"/>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2F5496" w:themeColor="accent1" w:themeShade="BF"/>
      <w:sz w:val="28"/>
      <w:szCs w:val="28"/>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624D"/>
    <w:rPr>
      <w:rFonts w:asciiTheme="majorHAnsi" w:eastAsiaTheme="majorEastAsia" w:hAnsiTheme="majorHAnsi" w:cstheme="majorBidi"/>
      <w:b/>
      <w:bCs/>
      <w:color w:val="2F5496" w:themeColor="accent1" w:themeShade="BF"/>
      <w:sz w:val="28"/>
      <w:szCs w:val="28"/>
      <w:lang w:val="fr-FR" w:eastAsia="fr-FR" w:bidi="fr-FR"/>
    </w:rPr>
  </w:style>
  <w:style w:type="paragraph" w:styleId="Corpsdetexte">
    <w:name w:val="Body Text"/>
    <w:basedOn w:val="Normal"/>
    <w:link w:val="CorpsdetexteCar"/>
    <w:uiPriority w:val="1"/>
    <w:semiHidden/>
    <w:unhideWhenUsed/>
    <w:qFormat/>
    <w:rsid w:val="00D7624D"/>
    <w:pPr>
      <w:widowControl w:val="0"/>
      <w:autoSpaceDE w:val="0"/>
      <w:autoSpaceDN w:val="0"/>
      <w:spacing w:after="0" w:line="240" w:lineRule="auto"/>
    </w:pPr>
    <w:rPr>
      <w:rFonts w:ascii="Arial" w:eastAsia="Arial" w:hAnsi="Arial" w:cs="Arial"/>
      <w:sz w:val="20"/>
      <w:szCs w:val="20"/>
      <w:lang w:val="fr-FR" w:eastAsia="fr-FR" w:bidi="fr-FR"/>
    </w:rPr>
  </w:style>
  <w:style w:type="character" w:customStyle="1" w:styleId="CorpsdetexteCar">
    <w:name w:val="Corps de texte Car"/>
    <w:basedOn w:val="Policepardfaut"/>
    <w:link w:val="Corpsdetexte"/>
    <w:uiPriority w:val="1"/>
    <w:semiHidden/>
    <w:rsid w:val="00D7624D"/>
    <w:rPr>
      <w:rFonts w:ascii="Arial" w:eastAsia="Arial" w:hAnsi="Arial" w:cs="Arial"/>
      <w:sz w:val="20"/>
      <w:szCs w:val="20"/>
      <w:lang w:val="fr-FR" w:eastAsia="fr-FR" w:bidi="fr-FR"/>
    </w:rPr>
  </w:style>
  <w:style w:type="paragraph" w:styleId="Textedebulles">
    <w:name w:val="Balloon Text"/>
    <w:basedOn w:val="Normal"/>
    <w:link w:val="TextedebullesCar"/>
    <w:uiPriority w:val="99"/>
    <w:semiHidden/>
    <w:unhideWhenUsed/>
    <w:rsid w:val="00D762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624D"/>
    <w:rPr>
      <w:rFonts w:ascii="Tahoma" w:hAnsi="Tahoma" w:cs="Tahoma"/>
      <w:sz w:val="16"/>
      <w:szCs w:val="16"/>
    </w:rPr>
  </w:style>
  <w:style w:type="paragraph" w:styleId="Paragraphedeliste">
    <w:name w:val="List Paragraph"/>
    <w:aliases w:val="Citation List,Resume Title,List Paragraph (numbered (a)),Use Case List Paragraph,Bullets,Medium Grid 1 - Accent 21,References,List bullets,Bullet paras,Heading 1.1,ANNEX,List Paragraph1,List Paragraph2,List Paragraph Char Char Char"/>
    <w:basedOn w:val="Normal"/>
    <w:link w:val="ParagraphedelisteCar"/>
    <w:uiPriority w:val="34"/>
    <w:qFormat/>
    <w:rsid w:val="0087073C"/>
    <w:pPr>
      <w:ind w:left="720"/>
      <w:contextualSpacing/>
    </w:pPr>
  </w:style>
  <w:style w:type="paragraph" w:styleId="En-tte">
    <w:name w:val="header"/>
    <w:basedOn w:val="Normal"/>
    <w:link w:val="En-tteCar"/>
    <w:uiPriority w:val="99"/>
    <w:unhideWhenUsed/>
    <w:rsid w:val="00487199"/>
    <w:pPr>
      <w:tabs>
        <w:tab w:val="center" w:pos="4536"/>
        <w:tab w:val="right" w:pos="9072"/>
      </w:tabs>
      <w:spacing w:after="0" w:line="240" w:lineRule="auto"/>
    </w:pPr>
  </w:style>
  <w:style w:type="character" w:customStyle="1" w:styleId="En-tteCar">
    <w:name w:val="En-tête Car"/>
    <w:basedOn w:val="Policepardfaut"/>
    <w:link w:val="En-tte"/>
    <w:uiPriority w:val="99"/>
    <w:rsid w:val="00487199"/>
  </w:style>
  <w:style w:type="paragraph" w:styleId="Pieddepage">
    <w:name w:val="footer"/>
    <w:basedOn w:val="Normal"/>
    <w:link w:val="PieddepageCar"/>
    <w:uiPriority w:val="99"/>
    <w:unhideWhenUsed/>
    <w:rsid w:val="004871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7199"/>
  </w:style>
  <w:style w:type="character" w:styleId="Lienhypertexte">
    <w:name w:val="Hyperlink"/>
    <w:basedOn w:val="Policepardfaut"/>
    <w:uiPriority w:val="99"/>
    <w:unhideWhenUsed/>
    <w:rsid w:val="000B4465"/>
    <w:rPr>
      <w:color w:val="0563C1" w:themeColor="hyperlink"/>
      <w:u w:val="single"/>
    </w:rPr>
  </w:style>
  <w:style w:type="character" w:customStyle="1" w:styleId="ParagraphedelisteCar">
    <w:name w:val="Paragraphe de liste Car"/>
    <w:aliases w:val="Citation List Car,Resume Title Car,List Paragraph (numbered (a)) Car,Use Case List Paragraph Car,Bullets Car,Medium Grid 1 - Accent 21 Car,References Car,List bullets Car,Bullet paras Car,Heading 1.1 Car,ANNEX Car"/>
    <w:link w:val="Paragraphedeliste"/>
    <w:uiPriority w:val="34"/>
    <w:qFormat/>
    <w:rsid w:val="00F3225E"/>
  </w:style>
  <w:style w:type="character" w:styleId="Marquedecommentaire">
    <w:name w:val="annotation reference"/>
    <w:basedOn w:val="Policepardfaut"/>
    <w:uiPriority w:val="99"/>
    <w:semiHidden/>
    <w:unhideWhenUsed/>
    <w:rsid w:val="000F57E2"/>
    <w:rPr>
      <w:sz w:val="16"/>
      <w:szCs w:val="16"/>
    </w:rPr>
  </w:style>
  <w:style w:type="paragraph" w:styleId="Commentaire">
    <w:name w:val="annotation text"/>
    <w:basedOn w:val="Normal"/>
    <w:link w:val="CommentaireCar"/>
    <w:uiPriority w:val="99"/>
    <w:semiHidden/>
    <w:unhideWhenUsed/>
    <w:rsid w:val="000F57E2"/>
    <w:pPr>
      <w:spacing w:line="240" w:lineRule="auto"/>
    </w:pPr>
    <w:rPr>
      <w:sz w:val="20"/>
      <w:szCs w:val="20"/>
    </w:rPr>
  </w:style>
  <w:style w:type="character" w:customStyle="1" w:styleId="CommentaireCar">
    <w:name w:val="Commentaire Car"/>
    <w:basedOn w:val="Policepardfaut"/>
    <w:link w:val="Commentaire"/>
    <w:uiPriority w:val="99"/>
    <w:semiHidden/>
    <w:rsid w:val="000F57E2"/>
    <w:rPr>
      <w:sz w:val="20"/>
      <w:szCs w:val="20"/>
    </w:rPr>
  </w:style>
  <w:style w:type="paragraph" w:styleId="Objetducommentaire">
    <w:name w:val="annotation subject"/>
    <w:basedOn w:val="Commentaire"/>
    <w:next w:val="Commentaire"/>
    <w:link w:val="ObjetducommentaireCar"/>
    <w:uiPriority w:val="99"/>
    <w:semiHidden/>
    <w:unhideWhenUsed/>
    <w:rsid w:val="000F57E2"/>
    <w:rPr>
      <w:b/>
      <w:bCs/>
    </w:rPr>
  </w:style>
  <w:style w:type="character" w:customStyle="1" w:styleId="ObjetducommentaireCar">
    <w:name w:val="Objet du commentaire Car"/>
    <w:basedOn w:val="CommentaireCar"/>
    <w:link w:val="Objetducommentaire"/>
    <w:uiPriority w:val="99"/>
    <w:semiHidden/>
    <w:rsid w:val="000F57E2"/>
    <w:rPr>
      <w:b/>
      <w:bCs/>
      <w:sz w:val="20"/>
      <w:szCs w:val="20"/>
    </w:rPr>
  </w:style>
  <w:style w:type="table" w:styleId="Grilledutableau">
    <w:name w:val="Table Grid"/>
    <w:basedOn w:val="TableauNormal"/>
    <w:uiPriority w:val="39"/>
    <w:rsid w:val="00EA5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B615AA"/>
    <w:pPr>
      <w:spacing w:after="0" w:line="240" w:lineRule="auto"/>
    </w:pPr>
    <w:rPr>
      <w:rFonts w:ascii="Calibri" w:eastAsia="Calibri" w:hAnsi="Calibri" w:cs="Times New Roman"/>
      <w:lang w:val="en-GB"/>
    </w:rPr>
  </w:style>
  <w:style w:type="character" w:customStyle="1" w:styleId="SansinterligneCar">
    <w:name w:val="Sans interligne Car"/>
    <w:basedOn w:val="Policepardfaut"/>
    <w:link w:val="Sansinterligne"/>
    <w:uiPriority w:val="1"/>
    <w:rsid w:val="00B615AA"/>
    <w:rPr>
      <w:rFonts w:ascii="Calibri" w:eastAsia="Calibri" w:hAnsi="Calibri" w:cs="Times New Roman"/>
      <w:lang w:val="en-GB"/>
    </w:rPr>
  </w:style>
  <w:style w:type="paragraph" w:styleId="PrformatHTML">
    <w:name w:val="HTML Preformatted"/>
    <w:basedOn w:val="Normal"/>
    <w:link w:val="PrformatHTMLCar"/>
    <w:uiPriority w:val="99"/>
    <w:semiHidden/>
    <w:unhideWhenUsed/>
    <w:rsid w:val="001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105150"/>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392B6E"/>
    <w:rPr>
      <w:color w:val="605E5C"/>
      <w:shd w:val="clear" w:color="auto" w:fill="E1DFDD"/>
    </w:rPr>
  </w:style>
  <w:style w:type="character" w:customStyle="1" w:styleId="UnresolvedMention">
    <w:name w:val="Unresolved Mention"/>
    <w:basedOn w:val="Policepardfaut"/>
    <w:uiPriority w:val="99"/>
    <w:semiHidden/>
    <w:unhideWhenUsed/>
    <w:rsid w:val="00E62DE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09667871">
      <w:bodyDiv w:val="1"/>
      <w:marLeft w:val="0"/>
      <w:marRight w:val="0"/>
      <w:marTop w:val="0"/>
      <w:marBottom w:val="0"/>
      <w:divBdr>
        <w:top w:val="none" w:sz="0" w:space="0" w:color="auto"/>
        <w:left w:val="none" w:sz="0" w:space="0" w:color="auto"/>
        <w:bottom w:val="none" w:sz="0" w:space="0" w:color="auto"/>
        <w:right w:val="none" w:sz="0" w:space="0" w:color="auto"/>
      </w:divBdr>
    </w:div>
    <w:div w:id="1234043289">
      <w:bodyDiv w:val="1"/>
      <w:marLeft w:val="0"/>
      <w:marRight w:val="0"/>
      <w:marTop w:val="0"/>
      <w:marBottom w:val="0"/>
      <w:divBdr>
        <w:top w:val="none" w:sz="0" w:space="0" w:color="auto"/>
        <w:left w:val="none" w:sz="0" w:space="0" w:color="auto"/>
        <w:bottom w:val="none" w:sz="0" w:space="0" w:color="auto"/>
        <w:right w:val="none" w:sz="0" w:space="0" w:color="auto"/>
      </w:divBdr>
    </w:div>
    <w:div w:id="19197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alehnio@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hamedabdallahmahyoub@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nfoproje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25CC5F0CE41646B5DD202FDBA626FE" ma:contentTypeVersion="12" ma:contentTypeDescription="Create a new document." ma:contentTypeScope="" ma:versionID="e61904dd10f18dfdfc35664aae7e9940">
  <xsd:schema xmlns:xsd="http://www.w3.org/2001/XMLSchema" xmlns:xs="http://www.w3.org/2001/XMLSchema" xmlns:p="http://schemas.microsoft.com/office/2006/metadata/properties" xmlns:ns3="328e7963-251c-49b8-8148-36ce176bce93" xmlns:ns4="3a405ab3-bce5-4721-b067-2d540d68b2a4" targetNamespace="http://schemas.microsoft.com/office/2006/metadata/properties" ma:root="true" ma:fieldsID="1d674a66c4db76c4aa2a0d6c81829063" ns3:_="" ns4:_="">
    <xsd:import namespace="328e7963-251c-49b8-8148-36ce176bce93"/>
    <xsd:import namespace="3a405ab3-bce5-4721-b067-2d540d68b2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7963-251c-49b8-8148-36ce176bc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05ab3-bce5-4721-b067-2d540d68b2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920C2-868D-4E29-BCB1-56EDEE0B4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7963-251c-49b8-8148-36ce176bce93"/>
    <ds:schemaRef ds:uri="3a405ab3-bce5-4721-b067-2d540d68b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4F205-7675-4BD8-B3F7-7B07A5207C98}">
  <ds:schemaRefs>
    <ds:schemaRef ds:uri="http://schemas.microsoft.com/sharepoint/v3/contenttype/forms"/>
  </ds:schemaRefs>
</ds:datastoreItem>
</file>

<file path=customXml/itemProps3.xml><?xml version="1.0" encoding="utf-8"?>
<ds:datastoreItem xmlns:ds="http://schemas.openxmlformats.org/officeDocument/2006/customXml" ds:itemID="{5D091C34-804F-407D-8E61-D483871CAC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BC4BA6-781E-4326-9092-9C581703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2889</Words>
  <Characters>15895</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Samira Halabi</dc:creator>
  <cp:lastModifiedBy>deka - aroun</cp:lastModifiedBy>
  <cp:revision>11</cp:revision>
  <cp:lastPrinted>2020-03-12T05:10:00Z</cp:lastPrinted>
  <dcterms:created xsi:type="dcterms:W3CDTF">2026-02-15T15:48:00Z</dcterms:created>
  <dcterms:modified xsi:type="dcterms:W3CDTF">2026-03-31T09:04:00Z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0x0101005825CC5F0CE41646B5DD202FDBA626FE</vt:lpwstr>
  </property>
  <property fmtid="{D5CDD505-2E9C-101B-9397-08002B2CF9AE}" pid="3" name="WBDocs_Originating_Unit">
    <vt:lpwstr>5;#HEDDR|30c5d4c2-e8be-441c-b74b-83bfd59adca5</vt:lpwstr>
  </property>
  <property fmtid="{D5CDD505-2E9C-101B-9397-08002B2CF9AE}" pid="4" name="fbe16eaccf4749f086104f7c67297f76">
    <vt:lpwstr>World Bank|bc205cc9-8a56-48a3-9f30-b099e7707c1b</vt:lpwstr>
  </property>
  <property fmtid="{D5CDD505-2E9C-101B-9397-08002B2CF9AE}" pid="5" name="WBDocs_Local_Document_Type">
    <vt:lpwstr/>
  </property>
</Properties>
</file>